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23FA4" w14:textId="17E9657F" w:rsidR="008536ED" w:rsidRPr="00B82D2D" w:rsidRDefault="008536ED" w:rsidP="008536ED">
      <w:pPr>
        <w:shd w:val="clear" w:color="auto" w:fill="FFFFFF"/>
        <w:outlineLvl w:val="1"/>
        <w:rPr>
          <w:b/>
          <w:bCs/>
          <w:sz w:val="36"/>
          <w:szCs w:val="36"/>
        </w:rPr>
      </w:pPr>
      <w:r w:rsidRPr="00B82D2D">
        <w:rPr>
          <w:b/>
          <w:bCs/>
          <w:color w:val="131314"/>
          <w:sz w:val="28"/>
          <w:szCs w:val="28"/>
        </w:rPr>
        <w:t>SUMMARY (</w:t>
      </w:r>
      <w:r w:rsidR="00DA458D">
        <w:rPr>
          <w:b/>
          <w:bCs/>
          <w:color w:val="131314"/>
          <w:sz w:val="28"/>
          <w:szCs w:val="28"/>
        </w:rPr>
        <w:t>Cutting edge</w:t>
      </w:r>
      <w:r w:rsidRPr="00B82D2D">
        <w:rPr>
          <w:b/>
          <w:bCs/>
          <w:color w:val="131314"/>
          <w:sz w:val="28"/>
          <w:szCs w:val="28"/>
        </w:rPr>
        <w:t xml:space="preserve">) </w:t>
      </w:r>
      <w:r w:rsidR="00076BBB">
        <w:rPr>
          <w:b/>
          <w:bCs/>
          <w:color w:val="131314"/>
          <w:sz w:val="28"/>
          <w:szCs w:val="28"/>
        </w:rPr>
        <w:t>0</w:t>
      </w:r>
      <w:r w:rsidR="00047DC0">
        <w:rPr>
          <w:b/>
          <w:bCs/>
          <w:color w:val="131314"/>
          <w:sz w:val="28"/>
          <w:szCs w:val="28"/>
        </w:rPr>
        <w:t>6</w:t>
      </w:r>
      <w:r w:rsidR="001D6C94">
        <w:rPr>
          <w:b/>
          <w:bCs/>
          <w:color w:val="131314"/>
          <w:sz w:val="28"/>
          <w:szCs w:val="28"/>
        </w:rPr>
        <w:t>/</w:t>
      </w:r>
      <w:r w:rsidR="00047DC0">
        <w:rPr>
          <w:b/>
          <w:bCs/>
          <w:color w:val="131314"/>
          <w:sz w:val="28"/>
          <w:szCs w:val="28"/>
        </w:rPr>
        <w:t>05</w:t>
      </w:r>
      <w:r w:rsidRPr="00B82D2D">
        <w:rPr>
          <w:b/>
          <w:bCs/>
          <w:color w:val="131314"/>
          <w:sz w:val="28"/>
          <w:szCs w:val="28"/>
        </w:rPr>
        <w:t>/2</w:t>
      </w:r>
      <w:r w:rsidR="00076BBB">
        <w:rPr>
          <w:b/>
          <w:bCs/>
          <w:color w:val="131314"/>
          <w:sz w:val="28"/>
          <w:szCs w:val="28"/>
        </w:rPr>
        <w:t>6</w:t>
      </w:r>
      <w:r w:rsidR="006C5590">
        <w:rPr>
          <w:b/>
          <w:bCs/>
          <w:sz w:val="36"/>
          <w:szCs w:val="36"/>
        </w:rPr>
        <w:t xml:space="preserve"> </w:t>
      </w:r>
      <w:r w:rsidRPr="00B82D2D">
        <w:rPr>
          <w:b/>
          <w:bCs/>
          <w:color w:val="FF2F92"/>
          <w:sz w:val="28"/>
          <w:szCs w:val="28"/>
        </w:rPr>
        <w:t>ciT1zen science</w:t>
      </w:r>
    </w:p>
    <w:p w14:paraId="0E319AF6" w14:textId="77777777" w:rsidR="00822424" w:rsidRDefault="00822424">
      <w:pPr>
        <w:rPr>
          <w:color w:val="131314"/>
          <w:sz w:val="28"/>
          <w:szCs w:val="28"/>
        </w:rPr>
      </w:pPr>
    </w:p>
    <w:p w14:paraId="054E70BB" w14:textId="3D369FE3" w:rsidR="006C5590" w:rsidRPr="00CA6C87" w:rsidRDefault="003450D1" w:rsidP="00CA6C87">
      <w:pPr>
        <w:rPr>
          <w:b/>
          <w:bCs/>
          <w:color w:val="131314"/>
          <w:sz w:val="20"/>
          <w:szCs w:val="20"/>
        </w:rPr>
      </w:pPr>
      <w:r w:rsidRPr="003450D1">
        <w:rPr>
          <w:b/>
          <w:bCs/>
          <w:color w:val="131314"/>
          <w:sz w:val="20"/>
          <w:szCs w:val="20"/>
        </w:rPr>
        <w:t>Inflammatory Cytokines Impair Glucagon Expression and Secretion in Pancreatic α-Cells</w:t>
      </w:r>
      <w:r w:rsidR="002135AA">
        <w:rPr>
          <w:b/>
          <w:bCs/>
          <w:color w:val="131314"/>
          <w:sz w:val="20"/>
          <w:szCs w:val="20"/>
        </w:rPr>
        <w:t xml:space="preserve"> </w:t>
      </w:r>
      <w:r w:rsidR="006C5590" w:rsidRPr="006C5590">
        <w:rPr>
          <w:b/>
          <w:bCs/>
          <w:color w:val="FF2F92"/>
          <w:sz w:val="20"/>
          <w:szCs w:val="20"/>
        </w:rPr>
        <w:t>ciT1zen science</w:t>
      </w:r>
      <w:r w:rsidR="006C5590">
        <w:rPr>
          <w:b/>
          <w:bCs/>
          <w:color w:val="FF2F92"/>
          <w:sz w:val="20"/>
          <w:szCs w:val="20"/>
        </w:rPr>
        <w:t xml:space="preserve"> summary</w:t>
      </w:r>
    </w:p>
    <w:p w14:paraId="0B7CBAF5" w14:textId="77777777" w:rsidR="00076BBB" w:rsidRDefault="00076BBB">
      <w:pPr>
        <w:rPr>
          <w:b/>
          <w:bCs/>
          <w:color w:val="FF2F92"/>
          <w:sz w:val="20"/>
          <w:szCs w:val="20"/>
        </w:rPr>
      </w:pPr>
    </w:p>
    <w:p w14:paraId="3017C2FD" w14:textId="29F0BB6C" w:rsidR="00076BBB" w:rsidRDefault="00076BBB">
      <w:pPr>
        <w:rPr>
          <w:color w:val="131314"/>
          <w:sz w:val="20"/>
          <w:szCs w:val="20"/>
        </w:rPr>
      </w:pPr>
      <w:r>
        <w:rPr>
          <w:b/>
          <w:bCs/>
          <w:color w:val="131314"/>
          <w:sz w:val="20"/>
          <w:szCs w:val="20"/>
        </w:rPr>
        <w:t xml:space="preserve">Source: </w:t>
      </w:r>
      <w:r>
        <w:rPr>
          <w:color w:val="131314"/>
          <w:sz w:val="20"/>
          <w:szCs w:val="20"/>
        </w:rPr>
        <w:t>Excerpts from “</w:t>
      </w:r>
      <w:r w:rsidR="003450D1" w:rsidRPr="003450D1">
        <w:rPr>
          <w:color w:val="131314"/>
          <w:sz w:val="20"/>
          <w:szCs w:val="20"/>
        </w:rPr>
        <w:t>Inflammatory Cytokines Impair Glucagon Expression and Secretion in Pancreatic α-Cells</w:t>
      </w:r>
      <w:r w:rsidR="00CA6C87" w:rsidRPr="00CA6C87">
        <w:rPr>
          <w:color w:val="131314"/>
          <w:sz w:val="20"/>
          <w:szCs w:val="20"/>
        </w:rPr>
        <w:t xml:space="preserve"> </w:t>
      </w:r>
      <w:r w:rsidR="00523900">
        <w:rPr>
          <w:color w:val="131314"/>
          <w:sz w:val="20"/>
          <w:szCs w:val="20"/>
        </w:rPr>
        <w:t xml:space="preserve">| </w:t>
      </w:r>
      <w:r w:rsidR="006737AF">
        <w:rPr>
          <w:color w:val="131314"/>
          <w:sz w:val="20"/>
          <w:szCs w:val="20"/>
        </w:rPr>
        <w:t>Diabetes Obesity and Metabolism</w:t>
      </w:r>
      <w:r>
        <w:rPr>
          <w:color w:val="131314"/>
          <w:sz w:val="20"/>
          <w:szCs w:val="20"/>
        </w:rPr>
        <w:t>”</w:t>
      </w:r>
    </w:p>
    <w:p w14:paraId="3D29C32E" w14:textId="6345A5A5" w:rsidR="00076BBB" w:rsidRPr="00076BBB" w:rsidRDefault="00076BBB">
      <w:pPr>
        <w:rPr>
          <w:b/>
          <w:bCs/>
          <w:color w:val="131314"/>
          <w:sz w:val="20"/>
          <w:szCs w:val="20"/>
        </w:rPr>
      </w:pPr>
      <w:r>
        <w:rPr>
          <w:b/>
          <w:bCs/>
          <w:color w:val="131314"/>
          <w:sz w:val="20"/>
          <w:szCs w:val="20"/>
        </w:rPr>
        <w:t xml:space="preserve">Published: </w:t>
      </w:r>
      <w:r w:rsidR="003450D1">
        <w:rPr>
          <w:color w:val="131314"/>
          <w:sz w:val="20"/>
          <w:szCs w:val="20"/>
        </w:rPr>
        <w:t>31</w:t>
      </w:r>
      <w:r w:rsidR="009A1FC0">
        <w:rPr>
          <w:color w:val="131314"/>
          <w:sz w:val="20"/>
          <w:szCs w:val="20"/>
        </w:rPr>
        <w:t xml:space="preserve"> </w:t>
      </w:r>
      <w:r w:rsidR="00BE1B78">
        <w:rPr>
          <w:color w:val="131314"/>
          <w:sz w:val="20"/>
          <w:szCs w:val="20"/>
        </w:rPr>
        <w:t xml:space="preserve">May </w:t>
      </w:r>
      <w:r w:rsidRPr="00076BBB">
        <w:rPr>
          <w:color w:val="131314"/>
          <w:sz w:val="20"/>
          <w:szCs w:val="20"/>
        </w:rPr>
        <w:t>202</w:t>
      </w:r>
      <w:r w:rsidR="00D46EDE">
        <w:rPr>
          <w:color w:val="131314"/>
          <w:sz w:val="20"/>
          <w:szCs w:val="20"/>
        </w:rPr>
        <w:t>6</w:t>
      </w:r>
    </w:p>
    <w:p w14:paraId="494BC479" w14:textId="34817CE0" w:rsidR="00CC11F1" w:rsidRPr="00CA6C87" w:rsidRDefault="00076BBB" w:rsidP="002135AA">
      <w:pPr>
        <w:rPr>
          <w:color w:val="131314"/>
          <w:sz w:val="20"/>
          <w:szCs w:val="20"/>
        </w:rPr>
      </w:pPr>
      <w:r w:rsidRPr="00076BBB">
        <w:rPr>
          <w:b/>
          <w:bCs/>
          <w:color w:val="131314"/>
          <w:sz w:val="20"/>
          <w:szCs w:val="20"/>
        </w:rPr>
        <w:t xml:space="preserve">Authors: </w:t>
      </w:r>
      <w:r w:rsidR="003450D1" w:rsidRPr="003450D1">
        <w:rPr>
          <w:color w:val="131314"/>
          <w:sz w:val="20"/>
          <w:szCs w:val="20"/>
        </w:rPr>
        <w:t xml:space="preserve">Caroline </w:t>
      </w:r>
      <w:proofErr w:type="spellStart"/>
      <w:r w:rsidR="003450D1" w:rsidRPr="003450D1">
        <w:rPr>
          <w:color w:val="131314"/>
          <w:sz w:val="20"/>
          <w:szCs w:val="20"/>
        </w:rPr>
        <w:t>Bickelmann</w:t>
      </w:r>
      <w:proofErr w:type="spellEnd"/>
      <w:r w:rsidR="003450D1" w:rsidRPr="003450D1">
        <w:rPr>
          <w:color w:val="131314"/>
          <w:sz w:val="20"/>
          <w:szCs w:val="20"/>
        </w:rPr>
        <w:t xml:space="preserve">, Cedric Wilden, Leticia Prates-Roma, Matthias W. </w:t>
      </w:r>
      <w:proofErr w:type="spellStart"/>
      <w:r w:rsidR="003450D1" w:rsidRPr="003450D1">
        <w:rPr>
          <w:color w:val="131314"/>
          <w:sz w:val="20"/>
          <w:szCs w:val="20"/>
        </w:rPr>
        <w:t>Laschke</w:t>
      </w:r>
      <w:proofErr w:type="spellEnd"/>
      <w:r w:rsidR="003450D1" w:rsidRPr="003450D1">
        <w:rPr>
          <w:color w:val="131314"/>
          <w:sz w:val="20"/>
          <w:szCs w:val="20"/>
        </w:rPr>
        <w:t xml:space="preserve">, Emmanuel Ampofo, Selina </w:t>
      </w:r>
      <w:proofErr w:type="spellStart"/>
      <w:r w:rsidR="003450D1" w:rsidRPr="003450D1">
        <w:rPr>
          <w:color w:val="131314"/>
          <w:sz w:val="20"/>
          <w:szCs w:val="20"/>
        </w:rPr>
        <w:t>Wrublewsky</w:t>
      </w:r>
      <w:proofErr w:type="spellEnd"/>
    </w:p>
    <w:p w14:paraId="55B2CCC4" w14:textId="77777777" w:rsidR="003450D1" w:rsidRDefault="00076BBB" w:rsidP="003450D1">
      <w:pPr>
        <w:rPr>
          <w:b/>
          <w:bCs/>
          <w:color w:val="131314"/>
          <w:sz w:val="20"/>
          <w:szCs w:val="20"/>
        </w:rPr>
      </w:pPr>
      <w:r>
        <w:rPr>
          <w:b/>
          <w:bCs/>
          <w:color w:val="131314"/>
          <w:sz w:val="20"/>
          <w:szCs w:val="20"/>
        </w:rPr>
        <w:t>Summary:</w:t>
      </w:r>
    </w:p>
    <w:p w14:paraId="35ED61D6" w14:textId="207222EE" w:rsidR="003450D1" w:rsidRPr="003450D1" w:rsidRDefault="003450D1" w:rsidP="003450D1">
      <w:pPr>
        <w:rPr>
          <w:b/>
          <w:bCs/>
          <w:color w:val="131314"/>
          <w:sz w:val="20"/>
          <w:szCs w:val="20"/>
        </w:rPr>
      </w:pPr>
      <w:r w:rsidRPr="003450D1">
        <w:rPr>
          <w:color w:val="000000"/>
          <w:sz w:val="20"/>
          <w:szCs w:val="20"/>
        </w:rPr>
        <w:t xml:space="preserve">This briefing document details the findings of a 2026 study investigating the effects of obesity-associated inflammatory cytokines on pancreatic \alpha-cells. While the impairment of \beta-cells in Type 2 diabetes mellitus (T2DM) is well-documented, this research illuminates how a pro-inflammatory milieu—specifically a mix of interleukin (IL)-1\beta, </w:t>
      </w:r>
      <w:proofErr w:type="spellStart"/>
      <w:r w:rsidRPr="003450D1">
        <w:rPr>
          <w:color w:val="000000"/>
          <w:sz w:val="20"/>
          <w:szCs w:val="20"/>
        </w:rPr>
        <w:t>tumour</w:t>
      </w:r>
      <w:proofErr w:type="spellEnd"/>
      <w:r w:rsidRPr="003450D1">
        <w:rPr>
          <w:color w:val="000000"/>
          <w:sz w:val="20"/>
          <w:szCs w:val="20"/>
        </w:rPr>
        <w:t>\ necrosis\ factor (TNF)-\alpha, and interferon (IFN)-\gamma—disrupts glucagon (GCG) regulation.</w:t>
      </w:r>
    </w:p>
    <w:p w14:paraId="6ECF177F" w14:textId="77777777" w:rsidR="003450D1" w:rsidRPr="003450D1" w:rsidRDefault="003450D1" w:rsidP="003450D1">
      <w:pPr>
        <w:pStyle w:val="NormalWeb"/>
        <w:spacing w:before="0" w:beforeAutospacing="0" w:after="0" w:afterAutospacing="0"/>
        <w:rPr>
          <w:color w:val="000000"/>
          <w:sz w:val="20"/>
          <w:szCs w:val="20"/>
        </w:rPr>
      </w:pPr>
      <w:r w:rsidRPr="003450D1">
        <w:rPr>
          <w:color w:val="000000"/>
          <w:sz w:val="20"/>
          <w:szCs w:val="20"/>
        </w:rPr>
        <w:t>The study establishes that inflammatory cytokines do not necessarily kill \alpha-cells but instead trigger cellular stress responses that radically alter their transcriptional network. This results in a significant reduction in GCG gene expression and secretion. This dysregulation is mediated by the activation of the NF-\</w:t>
      </w:r>
      <w:proofErr w:type="spellStart"/>
      <w:r w:rsidRPr="003450D1">
        <w:rPr>
          <w:color w:val="000000"/>
          <w:sz w:val="20"/>
          <w:szCs w:val="20"/>
        </w:rPr>
        <w:t>kappaB</w:t>
      </w:r>
      <w:proofErr w:type="spellEnd"/>
      <w:r w:rsidRPr="003450D1">
        <w:rPr>
          <w:color w:val="000000"/>
          <w:sz w:val="20"/>
          <w:szCs w:val="20"/>
        </w:rPr>
        <w:t xml:space="preserve"> and Nrf2 pathways, leading to an increase in the repressor PDX1 and a decrease in the promoters PAX6 and </w:t>
      </w:r>
      <w:proofErr w:type="spellStart"/>
      <w:r w:rsidRPr="003450D1">
        <w:rPr>
          <w:color w:val="000000"/>
          <w:sz w:val="20"/>
          <w:szCs w:val="20"/>
        </w:rPr>
        <w:t>MafB</w:t>
      </w:r>
      <w:proofErr w:type="spellEnd"/>
      <w:r w:rsidRPr="003450D1">
        <w:rPr>
          <w:color w:val="000000"/>
          <w:sz w:val="20"/>
          <w:szCs w:val="20"/>
        </w:rPr>
        <w:t xml:space="preserve">. These findings provide critical insights into the inflammation-driven dysregulation of pancreatic islets and highlight a potential risk for impaired glucose </w:t>
      </w:r>
      <w:proofErr w:type="spellStart"/>
      <w:r w:rsidRPr="003450D1">
        <w:rPr>
          <w:color w:val="000000"/>
          <w:sz w:val="20"/>
          <w:szCs w:val="20"/>
        </w:rPr>
        <w:t>counterregulation</w:t>
      </w:r>
      <w:proofErr w:type="spellEnd"/>
      <w:r w:rsidRPr="003450D1">
        <w:rPr>
          <w:color w:val="000000"/>
          <w:sz w:val="20"/>
          <w:szCs w:val="20"/>
        </w:rPr>
        <w:t xml:space="preserve"> in diabetic patients.</w:t>
      </w:r>
    </w:p>
    <w:p w14:paraId="19C54B4A" w14:textId="77777777" w:rsidR="003450D1" w:rsidRPr="003450D1" w:rsidRDefault="003450D1" w:rsidP="003450D1">
      <w:pPr>
        <w:pStyle w:val="Heading2"/>
        <w:spacing w:before="0" w:after="0"/>
        <w:rPr>
          <w:rFonts w:ascii="Times New Roman" w:hAnsi="Times New Roman" w:cs="Times New Roman"/>
          <w:color w:val="000000"/>
          <w:sz w:val="20"/>
          <w:szCs w:val="20"/>
        </w:rPr>
      </w:pPr>
      <w:r w:rsidRPr="003450D1">
        <w:rPr>
          <w:rFonts w:ascii="Times New Roman" w:hAnsi="Times New Roman" w:cs="Times New Roman"/>
          <w:color w:val="000000"/>
          <w:sz w:val="20"/>
          <w:szCs w:val="20"/>
        </w:rPr>
        <w:t>Study Overview and Methodology</w:t>
      </w:r>
    </w:p>
    <w:p w14:paraId="40E61BCB" w14:textId="77777777" w:rsidR="003450D1" w:rsidRPr="003450D1" w:rsidRDefault="003450D1" w:rsidP="003450D1">
      <w:pPr>
        <w:pStyle w:val="NormalWeb"/>
        <w:spacing w:before="0" w:beforeAutospacing="0" w:after="0" w:afterAutospacing="0"/>
        <w:rPr>
          <w:color w:val="000000"/>
          <w:sz w:val="20"/>
          <w:szCs w:val="20"/>
        </w:rPr>
      </w:pPr>
      <w:r w:rsidRPr="003450D1">
        <w:rPr>
          <w:color w:val="000000"/>
          <w:sz w:val="20"/>
          <w:szCs w:val="20"/>
        </w:rPr>
        <w:t>The research aimed to fill a knowledge gap regarding how inflammation, a key driver of T2DM and insulin resistance, affects \alpha-cell function and glucagon secretion.</w:t>
      </w:r>
    </w:p>
    <w:p w14:paraId="56C50047" w14:textId="77777777" w:rsidR="003450D1" w:rsidRPr="003450D1" w:rsidRDefault="003450D1" w:rsidP="003450D1">
      <w:pPr>
        <w:pStyle w:val="Heading3"/>
        <w:spacing w:before="0" w:after="0"/>
        <w:rPr>
          <w:rFonts w:cs="Times New Roman"/>
          <w:color w:val="000000"/>
          <w:sz w:val="20"/>
          <w:szCs w:val="20"/>
        </w:rPr>
      </w:pPr>
      <w:r w:rsidRPr="003450D1">
        <w:rPr>
          <w:rFonts w:cs="Times New Roman"/>
          <w:color w:val="000000"/>
          <w:sz w:val="20"/>
          <w:szCs w:val="20"/>
        </w:rPr>
        <w:t>Experimental Models</w:t>
      </w:r>
    </w:p>
    <w:p w14:paraId="5EA89336" w14:textId="77777777" w:rsidR="003450D1" w:rsidRPr="003450D1" w:rsidRDefault="003450D1" w:rsidP="003450D1">
      <w:pPr>
        <w:pStyle w:val="NormalWeb"/>
        <w:spacing w:before="0" w:beforeAutospacing="0" w:after="0" w:afterAutospacing="0"/>
        <w:rPr>
          <w:color w:val="000000"/>
          <w:sz w:val="20"/>
          <w:szCs w:val="20"/>
        </w:rPr>
      </w:pPr>
      <w:r w:rsidRPr="003450D1">
        <w:rPr>
          <w:color w:val="000000"/>
          <w:sz w:val="20"/>
          <w:szCs w:val="20"/>
        </w:rPr>
        <w:t>The study utilized two primary models to investigate these effects:</w:t>
      </w:r>
    </w:p>
    <w:p w14:paraId="04245C48" w14:textId="77777777" w:rsidR="003450D1" w:rsidRPr="003450D1" w:rsidRDefault="003450D1" w:rsidP="003450D1">
      <w:pPr>
        <w:numPr>
          <w:ilvl w:val="0"/>
          <w:numId w:val="78"/>
        </w:numPr>
        <w:rPr>
          <w:color w:val="000000"/>
          <w:sz w:val="20"/>
          <w:szCs w:val="20"/>
        </w:rPr>
      </w:pPr>
      <w:r w:rsidRPr="003450D1">
        <w:rPr>
          <w:b/>
          <w:bCs/>
          <w:color w:val="000000"/>
          <w:sz w:val="20"/>
          <w:szCs w:val="20"/>
        </w:rPr>
        <w:t>\alphaTC1 Cell Line:</w:t>
      </w:r>
      <w:r w:rsidRPr="003450D1">
        <w:rPr>
          <w:rStyle w:val="apple-converted-space"/>
          <w:rFonts w:eastAsiaTheme="majorEastAsia"/>
          <w:color w:val="000000"/>
          <w:sz w:val="20"/>
          <w:szCs w:val="20"/>
        </w:rPr>
        <w:t> </w:t>
      </w:r>
      <w:r w:rsidRPr="003450D1">
        <w:rPr>
          <w:color w:val="000000"/>
          <w:sz w:val="20"/>
          <w:szCs w:val="20"/>
        </w:rPr>
        <w:t>A murine pancreatic \alpha-cell line used for detailed mechanistic and reporter gene assays.</w:t>
      </w:r>
    </w:p>
    <w:p w14:paraId="01F4EB96" w14:textId="77777777" w:rsidR="003450D1" w:rsidRPr="003450D1" w:rsidRDefault="003450D1" w:rsidP="003450D1">
      <w:pPr>
        <w:numPr>
          <w:ilvl w:val="0"/>
          <w:numId w:val="78"/>
        </w:numPr>
        <w:rPr>
          <w:color w:val="000000"/>
          <w:sz w:val="20"/>
          <w:szCs w:val="20"/>
        </w:rPr>
      </w:pPr>
      <w:r w:rsidRPr="003450D1">
        <w:rPr>
          <w:b/>
          <w:bCs/>
          <w:color w:val="000000"/>
          <w:sz w:val="20"/>
          <w:szCs w:val="20"/>
        </w:rPr>
        <w:t>Isolated Mouse Islets:</w:t>
      </w:r>
      <w:r w:rsidRPr="003450D1">
        <w:rPr>
          <w:rStyle w:val="apple-converted-space"/>
          <w:rFonts w:eastAsiaTheme="majorEastAsia"/>
          <w:color w:val="000000"/>
          <w:sz w:val="20"/>
          <w:szCs w:val="20"/>
        </w:rPr>
        <w:t> </w:t>
      </w:r>
      <w:r w:rsidRPr="003450D1">
        <w:rPr>
          <w:color w:val="000000"/>
          <w:sz w:val="20"/>
          <w:szCs w:val="20"/>
        </w:rPr>
        <w:t>Islets obtained from both male and female C57BL/6J mice to validate findings in a more physiological and sex-specific context.</w:t>
      </w:r>
    </w:p>
    <w:p w14:paraId="2BFE7A2A" w14:textId="77777777" w:rsidR="003450D1" w:rsidRPr="003450D1" w:rsidRDefault="003450D1" w:rsidP="003450D1">
      <w:pPr>
        <w:pStyle w:val="Heading3"/>
        <w:spacing w:before="0" w:after="0"/>
        <w:rPr>
          <w:rFonts w:cs="Times New Roman"/>
          <w:color w:val="000000"/>
          <w:sz w:val="20"/>
          <w:szCs w:val="20"/>
        </w:rPr>
      </w:pPr>
      <w:r w:rsidRPr="003450D1">
        <w:rPr>
          <w:rFonts w:cs="Times New Roman"/>
          <w:color w:val="000000"/>
          <w:sz w:val="20"/>
          <w:szCs w:val="20"/>
        </w:rPr>
        <w:t>Treatment Protocol</w:t>
      </w:r>
    </w:p>
    <w:p w14:paraId="5CA1583A" w14:textId="77777777" w:rsidR="003450D1" w:rsidRPr="003450D1" w:rsidRDefault="003450D1" w:rsidP="003450D1">
      <w:pPr>
        <w:pStyle w:val="NormalWeb"/>
        <w:spacing w:before="0" w:beforeAutospacing="0" w:after="0" w:afterAutospacing="0"/>
        <w:rPr>
          <w:color w:val="000000"/>
          <w:sz w:val="20"/>
          <w:szCs w:val="20"/>
        </w:rPr>
      </w:pPr>
      <w:r w:rsidRPr="003450D1">
        <w:rPr>
          <w:color w:val="000000"/>
          <w:sz w:val="20"/>
          <w:szCs w:val="20"/>
        </w:rPr>
        <w:t>Cells and islets were exposed for 24 to 72 hours to a cytokine mix designed to mimic the serum levels found in T2DM patients:</w:t>
      </w:r>
    </w:p>
    <w:p w14:paraId="34C2980A" w14:textId="77777777" w:rsidR="003450D1" w:rsidRPr="003450D1" w:rsidRDefault="003450D1" w:rsidP="003450D1">
      <w:pPr>
        <w:numPr>
          <w:ilvl w:val="0"/>
          <w:numId w:val="79"/>
        </w:numPr>
        <w:rPr>
          <w:color w:val="000000"/>
          <w:sz w:val="20"/>
          <w:szCs w:val="20"/>
        </w:rPr>
      </w:pPr>
      <w:r w:rsidRPr="003450D1">
        <w:rPr>
          <w:b/>
          <w:bCs/>
          <w:color w:val="000000"/>
          <w:sz w:val="20"/>
          <w:szCs w:val="20"/>
        </w:rPr>
        <w:t>IL-1\beta:</w:t>
      </w:r>
      <w:r w:rsidRPr="003450D1">
        <w:rPr>
          <w:rStyle w:val="apple-converted-space"/>
          <w:rFonts w:eastAsiaTheme="majorEastAsia"/>
          <w:color w:val="000000"/>
          <w:sz w:val="20"/>
          <w:szCs w:val="20"/>
        </w:rPr>
        <w:t> </w:t>
      </w:r>
      <w:r w:rsidRPr="003450D1">
        <w:rPr>
          <w:color w:val="000000"/>
          <w:sz w:val="20"/>
          <w:szCs w:val="20"/>
        </w:rPr>
        <w:t>2 ng/mL</w:t>
      </w:r>
    </w:p>
    <w:p w14:paraId="284F91D9" w14:textId="77777777" w:rsidR="003450D1" w:rsidRPr="003450D1" w:rsidRDefault="003450D1" w:rsidP="003450D1">
      <w:pPr>
        <w:numPr>
          <w:ilvl w:val="0"/>
          <w:numId w:val="79"/>
        </w:numPr>
        <w:rPr>
          <w:color w:val="000000"/>
          <w:sz w:val="20"/>
          <w:szCs w:val="20"/>
        </w:rPr>
      </w:pPr>
      <w:r w:rsidRPr="003450D1">
        <w:rPr>
          <w:b/>
          <w:bCs/>
          <w:color w:val="000000"/>
          <w:sz w:val="20"/>
          <w:szCs w:val="20"/>
        </w:rPr>
        <w:t>TNF-\alpha:</w:t>
      </w:r>
      <w:r w:rsidRPr="003450D1">
        <w:rPr>
          <w:rStyle w:val="apple-converted-space"/>
          <w:rFonts w:eastAsiaTheme="majorEastAsia"/>
          <w:color w:val="000000"/>
          <w:sz w:val="20"/>
          <w:szCs w:val="20"/>
        </w:rPr>
        <w:t> </w:t>
      </w:r>
      <w:r w:rsidRPr="003450D1">
        <w:rPr>
          <w:color w:val="000000"/>
          <w:sz w:val="20"/>
          <w:szCs w:val="20"/>
        </w:rPr>
        <w:t>10 ng/mL</w:t>
      </w:r>
    </w:p>
    <w:p w14:paraId="0F9AFFFC" w14:textId="77777777" w:rsidR="003450D1" w:rsidRPr="003450D1" w:rsidRDefault="003450D1" w:rsidP="003450D1">
      <w:pPr>
        <w:numPr>
          <w:ilvl w:val="0"/>
          <w:numId w:val="79"/>
        </w:numPr>
        <w:rPr>
          <w:color w:val="000000"/>
          <w:sz w:val="20"/>
          <w:szCs w:val="20"/>
        </w:rPr>
      </w:pPr>
      <w:r w:rsidRPr="003450D1">
        <w:rPr>
          <w:b/>
          <w:bCs/>
          <w:color w:val="000000"/>
          <w:sz w:val="20"/>
          <w:szCs w:val="20"/>
        </w:rPr>
        <w:t>IFN-\gamma:</w:t>
      </w:r>
      <w:r w:rsidRPr="003450D1">
        <w:rPr>
          <w:rStyle w:val="apple-converted-space"/>
          <w:rFonts w:eastAsiaTheme="majorEastAsia"/>
          <w:color w:val="000000"/>
          <w:sz w:val="20"/>
          <w:szCs w:val="20"/>
        </w:rPr>
        <w:t> </w:t>
      </w:r>
      <w:r w:rsidRPr="003450D1">
        <w:rPr>
          <w:color w:val="000000"/>
          <w:sz w:val="20"/>
          <w:szCs w:val="20"/>
        </w:rPr>
        <w:t>50 ng/mL</w:t>
      </w:r>
    </w:p>
    <w:p w14:paraId="485B2B55" w14:textId="77777777" w:rsidR="003450D1" w:rsidRPr="003450D1" w:rsidRDefault="003450D1" w:rsidP="003450D1">
      <w:pPr>
        <w:pStyle w:val="Heading3"/>
        <w:spacing w:before="0" w:after="0"/>
        <w:rPr>
          <w:rFonts w:cs="Times New Roman"/>
          <w:color w:val="000000"/>
          <w:sz w:val="20"/>
          <w:szCs w:val="20"/>
        </w:rPr>
      </w:pPr>
      <w:r w:rsidRPr="003450D1">
        <w:rPr>
          <w:rFonts w:cs="Times New Roman"/>
          <w:color w:val="000000"/>
          <w:sz w:val="20"/>
          <w:szCs w:val="20"/>
        </w:rPr>
        <w:t>Analytical Techniques</w:t>
      </w:r>
    </w:p>
    <w:p w14:paraId="6C9A2BFA" w14:textId="77777777" w:rsidR="003450D1" w:rsidRPr="003450D1" w:rsidRDefault="003450D1" w:rsidP="003450D1">
      <w:pPr>
        <w:pStyle w:val="NormalWeb"/>
        <w:spacing w:before="0" w:beforeAutospacing="0" w:after="0" w:afterAutospacing="0"/>
        <w:rPr>
          <w:color w:val="000000"/>
          <w:sz w:val="20"/>
          <w:szCs w:val="20"/>
        </w:rPr>
      </w:pPr>
      <w:r w:rsidRPr="003450D1">
        <w:rPr>
          <w:color w:val="000000"/>
          <w:sz w:val="20"/>
          <w:szCs w:val="20"/>
        </w:rPr>
        <w:t xml:space="preserve">The researchers employed a multi-faceted approach including WST-1 and LDH assays (viability), </w:t>
      </w:r>
      <w:proofErr w:type="spellStart"/>
      <w:r w:rsidRPr="003450D1">
        <w:rPr>
          <w:color w:val="000000"/>
          <w:sz w:val="20"/>
          <w:szCs w:val="20"/>
        </w:rPr>
        <w:t>qRT</w:t>
      </w:r>
      <w:proofErr w:type="spellEnd"/>
      <w:r w:rsidRPr="003450D1">
        <w:rPr>
          <w:color w:val="000000"/>
          <w:sz w:val="20"/>
          <w:szCs w:val="20"/>
        </w:rPr>
        <w:t>-PCR (gene expression), Western blot (protein levels), ELISA (secretion), and luciferase reporter assays (promoter activity).</w:t>
      </w:r>
    </w:p>
    <w:p w14:paraId="7195F653" w14:textId="77777777" w:rsidR="003450D1" w:rsidRPr="003450D1" w:rsidRDefault="003450D1" w:rsidP="003450D1">
      <w:pPr>
        <w:pStyle w:val="Heading2"/>
        <w:spacing w:before="0" w:after="0"/>
        <w:rPr>
          <w:rFonts w:ascii="Times New Roman" w:hAnsi="Times New Roman" w:cs="Times New Roman"/>
          <w:color w:val="000000"/>
          <w:sz w:val="20"/>
          <w:szCs w:val="20"/>
        </w:rPr>
      </w:pPr>
      <w:r w:rsidRPr="003450D1">
        <w:rPr>
          <w:rFonts w:ascii="Times New Roman" w:hAnsi="Times New Roman" w:cs="Times New Roman"/>
          <w:color w:val="000000"/>
          <w:sz w:val="20"/>
          <w:szCs w:val="20"/>
        </w:rPr>
        <w:t>Cellular Stress Responses and Viability</w:t>
      </w:r>
    </w:p>
    <w:p w14:paraId="2117CC8F" w14:textId="77777777" w:rsidR="003450D1" w:rsidRPr="003450D1" w:rsidRDefault="003450D1" w:rsidP="003450D1">
      <w:pPr>
        <w:pStyle w:val="NormalWeb"/>
        <w:spacing w:before="0" w:beforeAutospacing="0" w:after="0" w:afterAutospacing="0"/>
        <w:rPr>
          <w:color w:val="000000"/>
          <w:sz w:val="20"/>
          <w:szCs w:val="20"/>
        </w:rPr>
      </w:pPr>
      <w:r w:rsidRPr="003450D1">
        <w:rPr>
          <w:color w:val="000000"/>
          <w:sz w:val="20"/>
          <w:szCs w:val="20"/>
        </w:rPr>
        <w:t>A significant finding of the study is that the specific concentrations of cytokines used did not induce cell death (apoptosis or necrosis) in \alpha-cells or isolated islets. Instead, the cells mounted robust stress responses.</w:t>
      </w:r>
    </w:p>
    <w:p w14:paraId="290F4DE9" w14:textId="77777777" w:rsidR="003450D1" w:rsidRPr="003450D1" w:rsidRDefault="003450D1" w:rsidP="003450D1">
      <w:pPr>
        <w:pStyle w:val="Heading3"/>
        <w:spacing w:before="0" w:after="0"/>
        <w:rPr>
          <w:rFonts w:cs="Times New Roman"/>
          <w:color w:val="000000"/>
          <w:sz w:val="20"/>
          <w:szCs w:val="20"/>
        </w:rPr>
      </w:pPr>
      <w:r w:rsidRPr="003450D1">
        <w:rPr>
          <w:rFonts w:cs="Times New Roman"/>
          <w:color w:val="000000"/>
          <w:sz w:val="20"/>
          <w:szCs w:val="20"/>
        </w:rPr>
        <w:t>Key Stress Pathways Activated</w:t>
      </w:r>
    </w:p>
    <w:p w14:paraId="4B2CB3D1" w14:textId="77777777" w:rsidR="003450D1" w:rsidRPr="003450D1" w:rsidRDefault="003450D1" w:rsidP="003450D1">
      <w:pPr>
        <w:numPr>
          <w:ilvl w:val="0"/>
          <w:numId w:val="80"/>
        </w:numPr>
        <w:rPr>
          <w:color w:val="000000"/>
          <w:sz w:val="20"/>
          <w:szCs w:val="20"/>
        </w:rPr>
      </w:pPr>
      <w:r w:rsidRPr="003450D1">
        <w:rPr>
          <w:b/>
          <w:bCs/>
          <w:color w:val="000000"/>
          <w:sz w:val="20"/>
          <w:szCs w:val="20"/>
        </w:rPr>
        <w:t>Nrf2 Pathway:</w:t>
      </w:r>
      <w:r w:rsidRPr="003450D1">
        <w:rPr>
          <w:rStyle w:val="apple-converted-space"/>
          <w:rFonts w:eastAsiaTheme="majorEastAsia"/>
          <w:color w:val="000000"/>
          <w:sz w:val="20"/>
          <w:szCs w:val="20"/>
        </w:rPr>
        <w:t> </w:t>
      </w:r>
      <w:r w:rsidRPr="003450D1">
        <w:rPr>
          <w:color w:val="000000"/>
          <w:sz w:val="20"/>
          <w:szCs w:val="20"/>
        </w:rPr>
        <w:t>This antioxidant response pathway was significantly induced. There were elevated levels of Nrf2 and its regulated antioxidant enzymes:</w:t>
      </w:r>
    </w:p>
    <w:p w14:paraId="0CFB4068" w14:textId="77777777" w:rsidR="003450D1" w:rsidRPr="003450D1" w:rsidRDefault="003450D1" w:rsidP="003450D1">
      <w:pPr>
        <w:numPr>
          <w:ilvl w:val="1"/>
          <w:numId w:val="80"/>
        </w:numPr>
        <w:rPr>
          <w:color w:val="000000"/>
          <w:sz w:val="20"/>
          <w:szCs w:val="20"/>
        </w:rPr>
      </w:pPr>
      <w:r w:rsidRPr="003450D1">
        <w:rPr>
          <w:b/>
          <w:bCs/>
          <w:color w:val="000000"/>
          <w:sz w:val="20"/>
          <w:szCs w:val="20"/>
        </w:rPr>
        <w:t>HO-1 (Heme oxygenase-1):</w:t>
      </w:r>
      <w:r w:rsidRPr="003450D1">
        <w:rPr>
          <w:rStyle w:val="apple-converted-space"/>
          <w:rFonts w:eastAsiaTheme="majorEastAsia"/>
          <w:color w:val="000000"/>
          <w:sz w:val="20"/>
          <w:szCs w:val="20"/>
        </w:rPr>
        <w:t> </w:t>
      </w:r>
      <w:r w:rsidRPr="003450D1">
        <w:rPr>
          <w:color w:val="000000"/>
          <w:sz w:val="20"/>
          <w:szCs w:val="20"/>
        </w:rPr>
        <w:t>Significantly increased in both cells and islets.</w:t>
      </w:r>
    </w:p>
    <w:p w14:paraId="1DE28357" w14:textId="77777777" w:rsidR="003450D1" w:rsidRPr="003450D1" w:rsidRDefault="003450D1" w:rsidP="003450D1">
      <w:pPr>
        <w:numPr>
          <w:ilvl w:val="1"/>
          <w:numId w:val="80"/>
        </w:numPr>
        <w:rPr>
          <w:color w:val="000000"/>
          <w:sz w:val="20"/>
          <w:szCs w:val="20"/>
        </w:rPr>
      </w:pPr>
      <w:r w:rsidRPr="003450D1">
        <w:rPr>
          <w:b/>
          <w:bCs/>
          <w:color w:val="000000"/>
          <w:sz w:val="20"/>
          <w:szCs w:val="20"/>
        </w:rPr>
        <w:t>SOD2 (Superoxide dismutase 2):</w:t>
      </w:r>
      <w:r w:rsidRPr="003450D1">
        <w:rPr>
          <w:rStyle w:val="apple-converted-space"/>
          <w:rFonts w:eastAsiaTheme="majorEastAsia"/>
          <w:color w:val="000000"/>
          <w:sz w:val="20"/>
          <w:szCs w:val="20"/>
        </w:rPr>
        <w:t> </w:t>
      </w:r>
      <w:r w:rsidRPr="003450D1">
        <w:rPr>
          <w:color w:val="000000"/>
          <w:sz w:val="20"/>
          <w:szCs w:val="20"/>
        </w:rPr>
        <w:t>Increased in \alphaTC1 cells and female islets, though male islets showed a reduction.</w:t>
      </w:r>
    </w:p>
    <w:p w14:paraId="15D564DE" w14:textId="77777777" w:rsidR="003450D1" w:rsidRPr="003450D1" w:rsidRDefault="003450D1" w:rsidP="003450D1">
      <w:pPr>
        <w:numPr>
          <w:ilvl w:val="0"/>
          <w:numId w:val="80"/>
        </w:numPr>
        <w:rPr>
          <w:color w:val="000000"/>
          <w:sz w:val="20"/>
          <w:szCs w:val="20"/>
        </w:rPr>
      </w:pPr>
      <w:r w:rsidRPr="003450D1">
        <w:rPr>
          <w:b/>
          <w:bCs/>
          <w:color w:val="000000"/>
          <w:sz w:val="20"/>
          <w:szCs w:val="20"/>
        </w:rPr>
        <w:t>NF-\</w:t>
      </w:r>
      <w:proofErr w:type="spellStart"/>
      <w:r w:rsidRPr="003450D1">
        <w:rPr>
          <w:b/>
          <w:bCs/>
          <w:color w:val="000000"/>
          <w:sz w:val="20"/>
          <w:szCs w:val="20"/>
        </w:rPr>
        <w:t>kappaB</w:t>
      </w:r>
      <w:proofErr w:type="spellEnd"/>
      <w:r w:rsidRPr="003450D1">
        <w:rPr>
          <w:b/>
          <w:bCs/>
          <w:color w:val="000000"/>
          <w:sz w:val="20"/>
          <w:szCs w:val="20"/>
        </w:rPr>
        <w:t xml:space="preserve"> Pathway:</w:t>
      </w:r>
      <w:r w:rsidRPr="003450D1">
        <w:rPr>
          <w:rStyle w:val="apple-converted-space"/>
          <w:rFonts w:eastAsiaTheme="majorEastAsia"/>
          <w:color w:val="000000"/>
          <w:sz w:val="20"/>
          <w:szCs w:val="20"/>
        </w:rPr>
        <w:t> </w:t>
      </w:r>
      <w:r w:rsidRPr="003450D1">
        <w:rPr>
          <w:color w:val="000000"/>
          <w:sz w:val="20"/>
          <w:szCs w:val="20"/>
        </w:rPr>
        <w:t>Cytokine exposure activated this pro-inflammatory pathway, evidenced by:</w:t>
      </w:r>
    </w:p>
    <w:p w14:paraId="368B5E55" w14:textId="77777777" w:rsidR="003450D1" w:rsidRPr="003450D1" w:rsidRDefault="003450D1" w:rsidP="003450D1">
      <w:pPr>
        <w:numPr>
          <w:ilvl w:val="1"/>
          <w:numId w:val="80"/>
        </w:numPr>
        <w:rPr>
          <w:color w:val="000000"/>
          <w:sz w:val="20"/>
          <w:szCs w:val="20"/>
        </w:rPr>
      </w:pPr>
      <w:r w:rsidRPr="003450D1">
        <w:rPr>
          <w:color w:val="000000"/>
          <w:sz w:val="20"/>
          <w:szCs w:val="20"/>
        </w:rPr>
        <w:t>Increased phosphorylation of</w:t>
      </w:r>
      <w:r w:rsidRPr="003450D1">
        <w:rPr>
          <w:rStyle w:val="apple-converted-space"/>
          <w:rFonts w:eastAsiaTheme="majorEastAsia"/>
          <w:color w:val="000000"/>
          <w:sz w:val="20"/>
          <w:szCs w:val="20"/>
        </w:rPr>
        <w:t> </w:t>
      </w:r>
      <w:r w:rsidRPr="003450D1">
        <w:rPr>
          <w:b/>
          <w:bCs/>
          <w:color w:val="000000"/>
          <w:sz w:val="20"/>
          <w:szCs w:val="20"/>
        </w:rPr>
        <w:t>p65</w:t>
      </w:r>
      <w:r w:rsidRPr="003450D1">
        <w:rPr>
          <w:color w:val="000000"/>
          <w:sz w:val="20"/>
          <w:szCs w:val="20"/>
        </w:rPr>
        <w:t>.</w:t>
      </w:r>
    </w:p>
    <w:p w14:paraId="1BAEB9E0" w14:textId="77777777" w:rsidR="003450D1" w:rsidRPr="003450D1" w:rsidRDefault="003450D1" w:rsidP="003450D1">
      <w:pPr>
        <w:numPr>
          <w:ilvl w:val="1"/>
          <w:numId w:val="80"/>
        </w:numPr>
        <w:rPr>
          <w:color w:val="000000"/>
          <w:sz w:val="20"/>
          <w:szCs w:val="20"/>
        </w:rPr>
      </w:pPr>
      <w:r w:rsidRPr="003450D1">
        <w:rPr>
          <w:color w:val="000000"/>
          <w:sz w:val="20"/>
          <w:szCs w:val="20"/>
        </w:rPr>
        <w:t>Elevated expression of</w:t>
      </w:r>
      <w:r w:rsidRPr="003450D1">
        <w:rPr>
          <w:rStyle w:val="apple-converted-space"/>
          <w:rFonts w:eastAsiaTheme="majorEastAsia"/>
          <w:color w:val="000000"/>
          <w:sz w:val="20"/>
          <w:szCs w:val="20"/>
        </w:rPr>
        <w:t> </w:t>
      </w:r>
      <w:proofErr w:type="spellStart"/>
      <w:r w:rsidRPr="003450D1">
        <w:rPr>
          <w:b/>
          <w:bCs/>
          <w:color w:val="000000"/>
          <w:sz w:val="20"/>
          <w:szCs w:val="20"/>
        </w:rPr>
        <w:t>iNOS</w:t>
      </w:r>
      <w:proofErr w:type="spellEnd"/>
      <w:r w:rsidRPr="003450D1">
        <w:rPr>
          <w:rStyle w:val="apple-converted-space"/>
          <w:rFonts w:eastAsiaTheme="majorEastAsia"/>
          <w:color w:val="000000"/>
          <w:sz w:val="20"/>
          <w:szCs w:val="20"/>
        </w:rPr>
        <w:t> </w:t>
      </w:r>
      <w:r w:rsidRPr="003450D1">
        <w:rPr>
          <w:color w:val="000000"/>
          <w:sz w:val="20"/>
          <w:szCs w:val="20"/>
        </w:rPr>
        <w:t>(inducible nitric oxide synthase).</w:t>
      </w:r>
    </w:p>
    <w:p w14:paraId="191D756F" w14:textId="77777777" w:rsidR="003450D1" w:rsidRPr="003450D1" w:rsidRDefault="003450D1" w:rsidP="003450D1">
      <w:pPr>
        <w:numPr>
          <w:ilvl w:val="1"/>
          <w:numId w:val="80"/>
        </w:numPr>
        <w:rPr>
          <w:color w:val="000000"/>
          <w:sz w:val="20"/>
          <w:szCs w:val="20"/>
        </w:rPr>
      </w:pPr>
      <w:r w:rsidRPr="003450D1">
        <w:rPr>
          <w:color w:val="000000"/>
          <w:sz w:val="20"/>
          <w:szCs w:val="20"/>
        </w:rPr>
        <w:t>Notably,</w:t>
      </w:r>
      <w:r w:rsidRPr="003450D1">
        <w:rPr>
          <w:rStyle w:val="apple-converted-space"/>
          <w:rFonts w:eastAsiaTheme="majorEastAsia"/>
          <w:color w:val="000000"/>
          <w:sz w:val="20"/>
          <w:szCs w:val="20"/>
        </w:rPr>
        <w:t> </w:t>
      </w:r>
      <w:r w:rsidRPr="003450D1">
        <w:rPr>
          <w:b/>
          <w:bCs/>
          <w:color w:val="000000"/>
          <w:sz w:val="20"/>
          <w:szCs w:val="20"/>
        </w:rPr>
        <w:t>COX2</w:t>
      </w:r>
      <w:r w:rsidRPr="003450D1">
        <w:rPr>
          <w:rStyle w:val="apple-converted-space"/>
          <w:rFonts w:eastAsiaTheme="majorEastAsia"/>
          <w:color w:val="000000"/>
          <w:sz w:val="20"/>
          <w:szCs w:val="20"/>
        </w:rPr>
        <w:t> </w:t>
      </w:r>
      <w:r w:rsidRPr="003450D1">
        <w:rPr>
          <w:color w:val="000000"/>
          <w:sz w:val="20"/>
          <w:szCs w:val="20"/>
        </w:rPr>
        <w:t>levels remained largely unaffected in this specific model.</w:t>
      </w:r>
    </w:p>
    <w:p w14:paraId="1A2ED980" w14:textId="77777777" w:rsidR="003450D1" w:rsidRPr="003450D1" w:rsidRDefault="003450D1" w:rsidP="003450D1">
      <w:pPr>
        <w:pStyle w:val="Heading2"/>
        <w:spacing w:before="0" w:after="0"/>
        <w:rPr>
          <w:rFonts w:ascii="Times New Roman" w:hAnsi="Times New Roman" w:cs="Times New Roman"/>
          <w:color w:val="000000"/>
          <w:sz w:val="20"/>
          <w:szCs w:val="20"/>
        </w:rPr>
      </w:pPr>
      <w:r w:rsidRPr="003450D1">
        <w:rPr>
          <w:rFonts w:ascii="Times New Roman" w:hAnsi="Times New Roman" w:cs="Times New Roman"/>
          <w:color w:val="000000"/>
          <w:sz w:val="20"/>
          <w:szCs w:val="20"/>
        </w:rPr>
        <w:lastRenderedPageBreak/>
        <w:t>Dysregulation of Glucagon (GCG) Expression and Secretion</w:t>
      </w:r>
    </w:p>
    <w:p w14:paraId="125AC37E" w14:textId="77777777" w:rsidR="003450D1" w:rsidRPr="003450D1" w:rsidRDefault="003450D1" w:rsidP="003450D1">
      <w:pPr>
        <w:pStyle w:val="NormalWeb"/>
        <w:spacing w:before="0" w:beforeAutospacing="0" w:after="0" w:afterAutospacing="0"/>
        <w:rPr>
          <w:color w:val="000000"/>
          <w:sz w:val="20"/>
          <w:szCs w:val="20"/>
        </w:rPr>
      </w:pPr>
      <w:r w:rsidRPr="003450D1">
        <w:rPr>
          <w:color w:val="000000"/>
          <w:sz w:val="20"/>
          <w:szCs w:val="20"/>
        </w:rPr>
        <w:t>The core impact of inflammatory cytokines on \alpha-cells is a global suppression of glucagon production and release.</w:t>
      </w:r>
    </w:p>
    <w:p w14:paraId="3F0A70E5" w14:textId="77777777" w:rsidR="003450D1" w:rsidRPr="003450D1" w:rsidRDefault="003450D1" w:rsidP="003450D1">
      <w:pPr>
        <w:pStyle w:val="Heading3"/>
        <w:spacing w:before="0" w:after="0"/>
        <w:rPr>
          <w:rFonts w:cs="Times New Roman"/>
          <w:color w:val="000000"/>
          <w:sz w:val="20"/>
          <w:szCs w:val="20"/>
        </w:rPr>
      </w:pPr>
      <w:r w:rsidRPr="003450D1">
        <w:rPr>
          <w:rFonts w:cs="Times New Roman"/>
          <w:color w:val="000000"/>
          <w:sz w:val="20"/>
          <w:szCs w:val="20"/>
        </w:rPr>
        <w:t>Findings on GCG Reduction</w:t>
      </w:r>
    </w:p>
    <w:p w14:paraId="0E99DCE8" w14:textId="77777777" w:rsidR="003450D1" w:rsidRPr="003450D1" w:rsidRDefault="003450D1" w:rsidP="003450D1">
      <w:pPr>
        <w:numPr>
          <w:ilvl w:val="0"/>
          <w:numId w:val="81"/>
        </w:numPr>
        <w:rPr>
          <w:color w:val="000000"/>
          <w:sz w:val="20"/>
          <w:szCs w:val="20"/>
        </w:rPr>
      </w:pPr>
      <w:r w:rsidRPr="003450D1">
        <w:rPr>
          <w:b/>
          <w:bCs/>
          <w:color w:val="000000"/>
          <w:sz w:val="20"/>
          <w:szCs w:val="20"/>
        </w:rPr>
        <w:t>Transcriptional Repression:</w:t>
      </w:r>
      <w:r w:rsidRPr="003450D1">
        <w:rPr>
          <w:rStyle w:val="apple-converted-space"/>
          <w:rFonts w:eastAsiaTheme="majorEastAsia"/>
          <w:color w:val="000000"/>
          <w:sz w:val="20"/>
          <w:szCs w:val="20"/>
        </w:rPr>
        <w:t> </w:t>
      </w:r>
      <w:r w:rsidRPr="003450D1">
        <w:rPr>
          <w:color w:val="000000"/>
          <w:sz w:val="20"/>
          <w:szCs w:val="20"/>
        </w:rPr>
        <w:t>Cytokine treatment markedly reduced GCG mRNA levels and repressed GCG promoter activity, as confirmed by reporter gene assays.</w:t>
      </w:r>
    </w:p>
    <w:p w14:paraId="3FBC7058" w14:textId="77777777" w:rsidR="003450D1" w:rsidRPr="003450D1" w:rsidRDefault="003450D1" w:rsidP="003450D1">
      <w:pPr>
        <w:numPr>
          <w:ilvl w:val="0"/>
          <w:numId w:val="81"/>
        </w:numPr>
        <w:rPr>
          <w:color w:val="000000"/>
          <w:sz w:val="20"/>
          <w:szCs w:val="20"/>
        </w:rPr>
      </w:pPr>
      <w:r w:rsidRPr="003450D1">
        <w:rPr>
          <w:b/>
          <w:bCs/>
          <w:color w:val="000000"/>
          <w:sz w:val="20"/>
          <w:szCs w:val="20"/>
        </w:rPr>
        <w:t>Reduced Secretion:</w:t>
      </w:r>
      <w:r w:rsidRPr="003450D1">
        <w:rPr>
          <w:rStyle w:val="apple-converted-space"/>
          <w:rFonts w:eastAsiaTheme="majorEastAsia"/>
          <w:color w:val="000000"/>
          <w:sz w:val="20"/>
          <w:szCs w:val="20"/>
        </w:rPr>
        <w:t> </w:t>
      </w:r>
      <w:r w:rsidRPr="003450D1">
        <w:rPr>
          <w:color w:val="000000"/>
          <w:sz w:val="20"/>
          <w:szCs w:val="20"/>
        </w:rPr>
        <w:t>Both the \alpha-cell line and isolated islets (male and female) showed significantly decreased GCG secretion under both low and high glucose conditions.</w:t>
      </w:r>
    </w:p>
    <w:p w14:paraId="3B2EC56C" w14:textId="77777777" w:rsidR="003450D1" w:rsidRPr="003450D1" w:rsidRDefault="003450D1" w:rsidP="003450D1">
      <w:pPr>
        <w:numPr>
          <w:ilvl w:val="0"/>
          <w:numId w:val="81"/>
        </w:numPr>
        <w:rPr>
          <w:color w:val="000000"/>
          <w:sz w:val="20"/>
          <w:szCs w:val="20"/>
        </w:rPr>
      </w:pPr>
      <w:r w:rsidRPr="003450D1">
        <w:rPr>
          <w:b/>
          <w:bCs/>
          <w:color w:val="000000"/>
          <w:sz w:val="20"/>
          <w:szCs w:val="20"/>
        </w:rPr>
        <w:t>Individual vs. Mixed Effects:</w:t>
      </w:r>
      <w:r w:rsidRPr="003450D1">
        <w:rPr>
          <w:rStyle w:val="apple-converted-space"/>
          <w:rFonts w:eastAsiaTheme="majorEastAsia"/>
          <w:color w:val="000000"/>
          <w:sz w:val="20"/>
          <w:szCs w:val="20"/>
        </w:rPr>
        <w:t> </w:t>
      </w:r>
      <w:r w:rsidRPr="003450D1">
        <w:rPr>
          <w:color w:val="000000"/>
          <w:sz w:val="20"/>
          <w:szCs w:val="20"/>
        </w:rPr>
        <w:t>While IL-1\beta, TNF-\alpha, and IFN-\gamma each independently exert inhibitory effects, their combination acts as a potent modulator of \alpha-cell function.</w:t>
      </w:r>
    </w:p>
    <w:p w14:paraId="0C5897D4" w14:textId="77777777" w:rsidR="003450D1" w:rsidRPr="003450D1" w:rsidRDefault="003450D1" w:rsidP="003450D1">
      <w:pPr>
        <w:pStyle w:val="Heading3"/>
        <w:spacing w:before="0" w:after="0"/>
        <w:rPr>
          <w:rFonts w:cs="Times New Roman"/>
          <w:color w:val="000000"/>
          <w:sz w:val="20"/>
          <w:szCs w:val="20"/>
        </w:rPr>
      </w:pPr>
      <w:r w:rsidRPr="003450D1">
        <w:rPr>
          <w:rFonts w:cs="Times New Roman"/>
          <w:color w:val="000000"/>
          <w:sz w:val="20"/>
          <w:szCs w:val="20"/>
        </w:rPr>
        <w:t>Reversibility</w:t>
      </w:r>
    </w:p>
    <w:p w14:paraId="3DC56074" w14:textId="77777777" w:rsidR="003450D1" w:rsidRPr="003450D1" w:rsidRDefault="003450D1" w:rsidP="003450D1">
      <w:pPr>
        <w:pStyle w:val="NormalWeb"/>
        <w:spacing w:before="0" w:beforeAutospacing="0" w:after="0" w:afterAutospacing="0"/>
        <w:rPr>
          <w:color w:val="000000"/>
          <w:sz w:val="20"/>
          <w:szCs w:val="20"/>
        </w:rPr>
      </w:pPr>
      <w:r w:rsidRPr="003450D1">
        <w:rPr>
          <w:color w:val="000000"/>
          <w:sz w:val="20"/>
          <w:szCs w:val="20"/>
        </w:rPr>
        <w:t>The study demonstrated that pre-treating cells with</w:t>
      </w:r>
      <w:r w:rsidRPr="003450D1">
        <w:rPr>
          <w:rStyle w:val="apple-converted-space"/>
          <w:rFonts w:eastAsiaTheme="majorEastAsia"/>
          <w:color w:val="000000"/>
          <w:sz w:val="20"/>
          <w:szCs w:val="20"/>
        </w:rPr>
        <w:t> </w:t>
      </w:r>
      <w:r w:rsidRPr="003450D1">
        <w:rPr>
          <w:b/>
          <w:bCs/>
          <w:color w:val="000000"/>
          <w:sz w:val="20"/>
          <w:szCs w:val="20"/>
        </w:rPr>
        <w:t>bay 11-7082</w:t>
      </w:r>
      <w:r w:rsidRPr="003450D1">
        <w:rPr>
          <w:rStyle w:val="apple-converted-space"/>
          <w:rFonts w:eastAsiaTheme="majorEastAsia"/>
          <w:color w:val="000000"/>
          <w:sz w:val="20"/>
          <w:szCs w:val="20"/>
        </w:rPr>
        <w:t> </w:t>
      </w:r>
      <w:r w:rsidRPr="003450D1">
        <w:rPr>
          <w:color w:val="000000"/>
          <w:sz w:val="20"/>
          <w:szCs w:val="20"/>
        </w:rPr>
        <w:t>(an NF-\</w:t>
      </w:r>
      <w:proofErr w:type="spellStart"/>
      <w:r w:rsidRPr="003450D1">
        <w:rPr>
          <w:color w:val="000000"/>
          <w:sz w:val="20"/>
          <w:szCs w:val="20"/>
        </w:rPr>
        <w:t>kappaB</w:t>
      </w:r>
      <w:proofErr w:type="spellEnd"/>
      <w:r w:rsidRPr="003450D1">
        <w:rPr>
          <w:color w:val="000000"/>
          <w:sz w:val="20"/>
          <w:szCs w:val="20"/>
        </w:rPr>
        <w:t xml:space="preserve"> inhibitor) abolished cytokine-induced changes, restoring GCG expression and secretion levels. This confirms that the NF-\</w:t>
      </w:r>
      <w:proofErr w:type="spellStart"/>
      <w:r w:rsidRPr="003450D1">
        <w:rPr>
          <w:color w:val="000000"/>
          <w:sz w:val="20"/>
          <w:szCs w:val="20"/>
        </w:rPr>
        <w:t>kappaB</w:t>
      </w:r>
      <w:proofErr w:type="spellEnd"/>
      <w:r w:rsidRPr="003450D1">
        <w:rPr>
          <w:color w:val="000000"/>
          <w:sz w:val="20"/>
          <w:szCs w:val="20"/>
        </w:rPr>
        <w:t xml:space="preserve"> pathway is a primary mediator of this dysfunction.</w:t>
      </w:r>
    </w:p>
    <w:p w14:paraId="58122412" w14:textId="77777777" w:rsidR="003450D1" w:rsidRPr="003450D1" w:rsidRDefault="003450D1" w:rsidP="003450D1">
      <w:pPr>
        <w:pStyle w:val="Heading2"/>
        <w:spacing w:before="0" w:after="0"/>
        <w:rPr>
          <w:rFonts w:ascii="Times New Roman" w:hAnsi="Times New Roman" w:cs="Times New Roman"/>
          <w:color w:val="000000"/>
          <w:sz w:val="20"/>
          <w:szCs w:val="20"/>
        </w:rPr>
      </w:pPr>
      <w:r w:rsidRPr="003450D1">
        <w:rPr>
          <w:rFonts w:ascii="Times New Roman" w:hAnsi="Times New Roman" w:cs="Times New Roman"/>
          <w:color w:val="000000"/>
          <w:sz w:val="20"/>
          <w:szCs w:val="20"/>
        </w:rPr>
        <w:t>Mechanistic Disruption of the Transcriptional Network</w:t>
      </w:r>
    </w:p>
    <w:p w14:paraId="4AFEAFE3" w14:textId="77777777" w:rsidR="003450D1" w:rsidRPr="003450D1" w:rsidRDefault="003450D1" w:rsidP="003450D1">
      <w:pPr>
        <w:pStyle w:val="NormalWeb"/>
        <w:spacing w:before="0" w:beforeAutospacing="0" w:after="0" w:afterAutospacing="0"/>
        <w:rPr>
          <w:color w:val="000000"/>
          <w:sz w:val="20"/>
          <w:szCs w:val="20"/>
        </w:rPr>
      </w:pPr>
      <w:r w:rsidRPr="003450D1">
        <w:rPr>
          <w:color w:val="000000"/>
          <w:sz w:val="20"/>
          <w:szCs w:val="20"/>
        </w:rPr>
        <w:t>The study identified a specific shift in the transcription factors that regulate the GCG gene. This "transcriptional shift" is the primary mechanism behind reduced glucagon levels.</w:t>
      </w:r>
    </w:p>
    <w:tbl>
      <w:tblPr>
        <w:tblW w:w="92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2"/>
        <w:gridCol w:w="2880"/>
        <w:gridCol w:w="4608"/>
      </w:tblGrid>
      <w:tr w:rsidR="003450D1" w:rsidRPr="003450D1" w14:paraId="7D6A6A58" w14:textId="77777777" w:rsidTr="003450D1"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AE8024" w14:textId="77777777" w:rsidR="003450D1" w:rsidRPr="003450D1" w:rsidRDefault="003450D1" w:rsidP="003450D1">
            <w:pPr>
              <w:pStyle w:val="Normal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3450D1">
              <w:rPr>
                <w:color w:val="000000"/>
                <w:sz w:val="20"/>
                <w:szCs w:val="20"/>
              </w:rPr>
              <w:t>Transcription Factor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76B566" w14:textId="77777777" w:rsidR="003450D1" w:rsidRPr="003450D1" w:rsidRDefault="003450D1" w:rsidP="003450D1">
            <w:pPr>
              <w:pStyle w:val="Normal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3450D1">
              <w:rPr>
                <w:color w:val="000000"/>
                <w:sz w:val="20"/>
                <w:szCs w:val="20"/>
              </w:rPr>
              <w:t>Change Post-Cytokine Exposure</w:t>
            </w:r>
          </w:p>
        </w:tc>
        <w:tc>
          <w:tcPr>
            <w:tcW w:w="4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19FF78" w14:textId="77777777" w:rsidR="003450D1" w:rsidRPr="003450D1" w:rsidRDefault="003450D1" w:rsidP="003450D1">
            <w:pPr>
              <w:pStyle w:val="Normal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3450D1">
              <w:rPr>
                <w:color w:val="000000"/>
                <w:sz w:val="20"/>
                <w:szCs w:val="20"/>
              </w:rPr>
              <w:t>Role in GCG Regulation</w:t>
            </w:r>
          </w:p>
        </w:tc>
      </w:tr>
      <w:tr w:rsidR="003450D1" w:rsidRPr="003450D1" w14:paraId="29FA00E5" w14:textId="77777777" w:rsidTr="003450D1"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7EA44E" w14:textId="77777777" w:rsidR="003450D1" w:rsidRPr="003450D1" w:rsidRDefault="003450D1" w:rsidP="003450D1">
            <w:pPr>
              <w:pStyle w:val="Normal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3450D1">
              <w:rPr>
                <w:b/>
                <w:bCs/>
                <w:color w:val="000000"/>
                <w:sz w:val="20"/>
                <w:szCs w:val="20"/>
              </w:rPr>
              <w:t>PDX1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724B94" w14:textId="77777777" w:rsidR="003450D1" w:rsidRPr="003450D1" w:rsidRDefault="003450D1" w:rsidP="003450D1">
            <w:pPr>
              <w:pStyle w:val="Normal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3450D1">
              <w:rPr>
                <w:color w:val="000000"/>
                <w:sz w:val="20"/>
                <w:szCs w:val="20"/>
              </w:rPr>
              <w:t>Significantly Increased</w:t>
            </w:r>
          </w:p>
        </w:tc>
        <w:tc>
          <w:tcPr>
            <w:tcW w:w="4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CA67BA" w14:textId="77777777" w:rsidR="003450D1" w:rsidRPr="003450D1" w:rsidRDefault="003450D1" w:rsidP="003450D1">
            <w:pPr>
              <w:pStyle w:val="Normal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3450D1">
              <w:rPr>
                <w:color w:val="000000"/>
                <w:sz w:val="20"/>
                <w:szCs w:val="20"/>
              </w:rPr>
              <w:t>Acts as a</w:t>
            </w:r>
            <w:r w:rsidRPr="003450D1">
              <w:rPr>
                <w:rStyle w:val="apple-converted-space"/>
                <w:rFonts w:eastAsiaTheme="majorEastAsia"/>
                <w:color w:val="000000"/>
                <w:sz w:val="20"/>
                <w:szCs w:val="20"/>
              </w:rPr>
              <w:t> </w:t>
            </w:r>
            <w:r w:rsidRPr="003450D1">
              <w:rPr>
                <w:b/>
                <w:bCs/>
                <w:color w:val="000000"/>
                <w:sz w:val="20"/>
                <w:szCs w:val="20"/>
              </w:rPr>
              <w:t>repressor</w:t>
            </w:r>
            <w:r w:rsidRPr="003450D1">
              <w:rPr>
                <w:rStyle w:val="apple-converted-space"/>
                <w:rFonts w:eastAsiaTheme="majorEastAsia"/>
                <w:color w:val="000000"/>
                <w:sz w:val="20"/>
                <w:szCs w:val="20"/>
              </w:rPr>
              <w:t> </w:t>
            </w:r>
            <w:r w:rsidRPr="003450D1">
              <w:rPr>
                <w:color w:val="000000"/>
                <w:sz w:val="20"/>
                <w:szCs w:val="20"/>
              </w:rPr>
              <w:t>of GCG expression in \alpha-cells.</w:t>
            </w:r>
          </w:p>
        </w:tc>
      </w:tr>
      <w:tr w:rsidR="003450D1" w:rsidRPr="003450D1" w14:paraId="1C747EF4" w14:textId="77777777" w:rsidTr="003450D1"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011F1E" w14:textId="77777777" w:rsidR="003450D1" w:rsidRPr="003450D1" w:rsidRDefault="003450D1" w:rsidP="003450D1">
            <w:pPr>
              <w:pStyle w:val="Normal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3450D1">
              <w:rPr>
                <w:b/>
                <w:bCs/>
                <w:color w:val="000000"/>
                <w:sz w:val="20"/>
                <w:szCs w:val="20"/>
              </w:rPr>
              <w:t>PAX6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13AF26" w14:textId="77777777" w:rsidR="003450D1" w:rsidRPr="003450D1" w:rsidRDefault="003450D1" w:rsidP="003450D1">
            <w:pPr>
              <w:pStyle w:val="Normal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3450D1">
              <w:rPr>
                <w:color w:val="000000"/>
                <w:sz w:val="20"/>
                <w:szCs w:val="20"/>
              </w:rPr>
              <w:t>Significantly Decreased</w:t>
            </w:r>
          </w:p>
        </w:tc>
        <w:tc>
          <w:tcPr>
            <w:tcW w:w="4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32F1D6" w14:textId="77777777" w:rsidR="003450D1" w:rsidRPr="003450D1" w:rsidRDefault="003450D1" w:rsidP="003450D1">
            <w:pPr>
              <w:pStyle w:val="Normal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3450D1">
              <w:rPr>
                <w:color w:val="000000"/>
                <w:sz w:val="20"/>
                <w:szCs w:val="20"/>
              </w:rPr>
              <w:t>Acts as a</w:t>
            </w:r>
            <w:r w:rsidRPr="003450D1">
              <w:rPr>
                <w:rStyle w:val="apple-converted-space"/>
                <w:rFonts w:eastAsiaTheme="majorEastAsia"/>
                <w:color w:val="000000"/>
                <w:sz w:val="20"/>
                <w:szCs w:val="20"/>
              </w:rPr>
              <w:t> </w:t>
            </w:r>
            <w:r w:rsidRPr="003450D1">
              <w:rPr>
                <w:b/>
                <w:bCs/>
                <w:color w:val="000000"/>
                <w:sz w:val="20"/>
                <w:szCs w:val="20"/>
              </w:rPr>
              <w:t>promoter</w:t>
            </w:r>
            <w:r w:rsidRPr="003450D1">
              <w:rPr>
                <w:rStyle w:val="apple-converted-space"/>
                <w:rFonts w:eastAsiaTheme="majorEastAsia"/>
                <w:color w:val="000000"/>
                <w:sz w:val="20"/>
                <w:szCs w:val="20"/>
              </w:rPr>
              <w:t> </w:t>
            </w:r>
            <w:r w:rsidRPr="003450D1">
              <w:rPr>
                <w:color w:val="000000"/>
                <w:sz w:val="20"/>
                <w:szCs w:val="20"/>
              </w:rPr>
              <w:t>of GCG gene expression.</w:t>
            </w:r>
          </w:p>
        </w:tc>
      </w:tr>
      <w:tr w:rsidR="003450D1" w:rsidRPr="003450D1" w14:paraId="3C5E74EF" w14:textId="77777777" w:rsidTr="003450D1"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371E59" w14:textId="77777777" w:rsidR="003450D1" w:rsidRPr="003450D1" w:rsidRDefault="003450D1" w:rsidP="003450D1">
            <w:pPr>
              <w:pStyle w:val="Normal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proofErr w:type="spellStart"/>
            <w:r w:rsidRPr="003450D1">
              <w:rPr>
                <w:b/>
                <w:bCs/>
                <w:color w:val="000000"/>
                <w:sz w:val="20"/>
                <w:szCs w:val="20"/>
              </w:rPr>
              <w:t>MafB</w:t>
            </w:r>
            <w:proofErr w:type="spellEnd"/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940FA7" w14:textId="77777777" w:rsidR="003450D1" w:rsidRPr="003450D1" w:rsidRDefault="003450D1" w:rsidP="003450D1">
            <w:pPr>
              <w:pStyle w:val="Normal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3450D1">
              <w:rPr>
                <w:color w:val="000000"/>
                <w:sz w:val="20"/>
                <w:szCs w:val="20"/>
              </w:rPr>
              <w:t>Significantly Decreased</w:t>
            </w:r>
          </w:p>
        </w:tc>
        <w:tc>
          <w:tcPr>
            <w:tcW w:w="4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2952E9" w14:textId="77777777" w:rsidR="003450D1" w:rsidRPr="003450D1" w:rsidRDefault="003450D1" w:rsidP="003450D1">
            <w:pPr>
              <w:pStyle w:val="Normal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3450D1">
              <w:rPr>
                <w:color w:val="000000"/>
                <w:sz w:val="20"/>
                <w:szCs w:val="20"/>
              </w:rPr>
              <w:t>Acts as a</w:t>
            </w:r>
            <w:r w:rsidRPr="003450D1">
              <w:rPr>
                <w:rStyle w:val="apple-converted-space"/>
                <w:rFonts w:eastAsiaTheme="majorEastAsia"/>
                <w:color w:val="000000"/>
                <w:sz w:val="20"/>
                <w:szCs w:val="20"/>
              </w:rPr>
              <w:t> </w:t>
            </w:r>
            <w:r w:rsidRPr="003450D1">
              <w:rPr>
                <w:b/>
                <w:bCs/>
                <w:color w:val="000000"/>
                <w:sz w:val="20"/>
                <w:szCs w:val="20"/>
              </w:rPr>
              <w:t>promoter</w:t>
            </w:r>
            <w:r w:rsidRPr="003450D1">
              <w:rPr>
                <w:rStyle w:val="apple-converted-space"/>
                <w:rFonts w:eastAsiaTheme="majorEastAsia"/>
                <w:color w:val="000000"/>
                <w:sz w:val="20"/>
                <w:szCs w:val="20"/>
              </w:rPr>
              <w:t> </w:t>
            </w:r>
            <w:r w:rsidRPr="003450D1">
              <w:rPr>
                <w:color w:val="000000"/>
                <w:sz w:val="20"/>
                <w:szCs w:val="20"/>
              </w:rPr>
              <w:t>of GCG gene expression.</w:t>
            </w:r>
          </w:p>
        </w:tc>
      </w:tr>
    </w:tbl>
    <w:p w14:paraId="0EB8C8D2" w14:textId="77777777" w:rsidR="003450D1" w:rsidRPr="003450D1" w:rsidRDefault="003450D1" w:rsidP="003450D1">
      <w:pPr>
        <w:pStyle w:val="NormalWeb"/>
        <w:spacing w:before="0" w:beforeAutospacing="0" w:after="0" w:afterAutospacing="0"/>
        <w:rPr>
          <w:color w:val="000000"/>
          <w:sz w:val="20"/>
          <w:szCs w:val="20"/>
        </w:rPr>
      </w:pPr>
      <w:r w:rsidRPr="003450D1">
        <w:rPr>
          <w:b/>
          <w:bCs/>
          <w:color w:val="000000"/>
          <w:sz w:val="20"/>
          <w:szCs w:val="20"/>
        </w:rPr>
        <w:t>Key Insight:</w:t>
      </w:r>
      <w:r w:rsidRPr="003450D1">
        <w:rPr>
          <w:rStyle w:val="apple-converted-space"/>
          <w:rFonts w:eastAsiaTheme="majorEastAsia"/>
          <w:color w:val="000000"/>
          <w:sz w:val="20"/>
          <w:szCs w:val="20"/>
        </w:rPr>
        <w:t> </w:t>
      </w:r>
      <w:r w:rsidRPr="003450D1">
        <w:rPr>
          <w:color w:val="000000"/>
          <w:sz w:val="20"/>
          <w:szCs w:val="20"/>
        </w:rPr>
        <w:t xml:space="preserve">The upregulation of the repressor PDX1 combined with the loss of promoters PAX6 and </w:t>
      </w:r>
      <w:proofErr w:type="spellStart"/>
      <w:r w:rsidRPr="003450D1">
        <w:rPr>
          <w:color w:val="000000"/>
          <w:sz w:val="20"/>
          <w:szCs w:val="20"/>
        </w:rPr>
        <w:t>MafB</w:t>
      </w:r>
      <w:proofErr w:type="spellEnd"/>
      <w:r w:rsidRPr="003450D1">
        <w:rPr>
          <w:color w:val="000000"/>
          <w:sz w:val="20"/>
          <w:szCs w:val="20"/>
        </w:rPr>
        <w:t xml:space="preserve"> creates a "double-hit" effect that suppresses glucagon biosynthesis.</w:t>
      </w:r>
    </w:p>
    <w:p w14:paraId="61FCEB84" w14:textId="77777777" w:rsidR="003450D1" w:rsidRPr="003450D1" w:rsidRDefault="003450D1" w:rsidP="003450D1">
      <w:pPr>
        <w:pStyle w:val="Heading2"/>
        <w:spacing w:before="0" w:after="0"/>
        <w:rPr>
          <w:rFonts w:ascii="Times New Roman" w:hAnsi="Times New Roman" w:cs="Times New Roman"/>
          <w:color w:val="000000"/>
          <w:sz w:val="20"/>
          <w:szCs w:val="20"/>
        </w:rPr>
      </w:pPr>
      <w:r w:rsidRPr="003450D1">
        <w:rPr>
          <w:rFonts w:ascii="Times New Roman" w:hAnsi="Times New Roman" w:cs="Times New Roman"/>
          <w:color w:val="000000"/>
          <w:sz w:val="20"/>
          <w:szCs w:val="20"/>
        </w:rPr>
        <w:t>Sex-Specific Observations</w:t>
      </w:r>
    </w:p>
    <w:p w14:paraId="3EE40EE1" w14:textId="77777777" w:rsidR="003450D1" w:rsidRPr="003450D1" w:rsidRDefault="003450D1" w:rsidP="003450D1">
      <w:pPr>
        <w:pStyle w:val="NormalWeb"/>
        <w:spacing w:before="0" w:beforeAutospacing="0" w:after="0" w:afterAutospacing="0"/>
        <w:rPr>
          <w:color w:val="000000"/>
          <w:sz w:val="20"/>
          <w:szCs w:val="20"/>
        </w:rPr>
      </w:pPr>
      <w:r w:rsidRPr="003450D1">
        <w:rPr>
          <w:color w:val="000000"/>
          <w:sz w:val="20"/>
          <w:szCs w:val="20"/>
        </w:rPr>
        <w:t>The study examined islets from both male and female mice, noting several biological differences:</w:t>
      </w:r>
    </w:p>
    <w:p w14:paraId="4E1BA51B" w14:textId="77777777" w:rsidR="003450D1" w:rsidRPr="003450D1" w:rsidRDefault="003450D1" w:rsidP="003450D1">
      <w:pPr>
        <w:numPr>
          <w:ilvl w:val="0"/>
          <w:numId w:val="82"/>
        </w:numPr>
        <w:rPr>
          <w:color w:val="000000"/>
          <w:sz w:val="20"/>
          <w:szCs w:val="20"/>
        </w:rPr>
      </w:pPr>
      <w:r w:rsidRPr="003450D1">
        <w:rPr>
          <w:b/>
          <w:bCs/>
          <w:color w:val="000000"/>
          <w:sz w:val="20"/>
          <w:szCs w:val="20"/>
        </w:rPr>
        <w:t>Baseline Secretion:</w:t>
      </w:r>
      <w:r w:rsidRPr="003450D1">
        <w:rPr>
          <w:rStyle w:val="apple-converted-space"/>
          <w:rFonts w:eastAsiaTheme="majorEastAsia"/>
          <w:color w:val="000000"/>
          <w:sz w:val="20"/>
          <w:szCs w:val="20"/>
        </w:rPr>
        <w:t> </w:t>
      </w:r>
      <w:r w:rsidRPr="003450D1">
        <w:rPr>
          <w:color w:val="000000"/>
          <w:sz w:val="20"/>
          <w:szCs w:val="20"/>
        </w:rPr>
        <w:t>Female islets exhibited higher baseline GCG secretion compared to male islets.</w:t>
      </w:r>
    </w:p>
    <w:p w14:paraId="1599CEB5" w14:textId="77777777" w:rsidR="003450D1" w:rsidRPr="003450D1" w:rsidRDefault="003450D1" w:rsidP="003450D1">
      <w:pPr>
        <w:numPr>
          <w:ilvl w:val="0"/>
          <w:numId w:val="82"/>
        </w:numPr>
        <w:rPr>
          <w:color w:val="000000"/>
          <w:sz w:val="20"/>
          <w:szCs w:val="20"/>
        </w:rPr>
      </w:pPr>
      <w:r w:rsidRPr="003450D1">
        <w:rPr>
          <w:b/>
          <w:bCs/>
          <w:color w:val="000000"/>
          <w:sz w:val="20"/>
          <w:szCs w:val="20"/>
        </w:rPr>
        <w:t>Cytokine Response:</w:t>
      </w:r>
      <w:r w:rsidRPr="003450D1">
        <w:rPr>
          <w:rStyle w:val="apple-converted-space"/>
          <w:rFonts w:eastAsiaTheme="majorEastAsia"/>
          <w:color w:val="000000"/>
          <w:sz w:val="20"/>
          <w:szCs w:val="20"/>
        </w:rPr>
        <w:t> </w:t>
      </w:r>
      <w:r w:rsidRPr="003450D1">
        <w:rPr>
          <w:color w:val="000000"/>
          <w:sz w:val="20"/>
          <w:szCs w:val="20"/>
        </w:rPr>
        <w:t>Despite the baseline difference, both male and female islets showed a similar and significant reduction in GCG expression and secretion when exposed to the cytokine mix.</w:t>
      </w:r>
    </w:p>
    <w:p w14:paraId="489BBDAF" w14:textId="77777777" w:rsidR="003450D1" w:rsidRPr="003450D1" w:rsidRDefault="003450D1" w:rsidP="003450D1">
      <w:pPr>
        <w:numPr>
          <w:ilvl w:val="0"/>
          <w:numId w:val="82"/>
        </w:numPr>
        <w:rPr>
          <w:color w:val="000000"/>
          <w:sz w:val="20"/>
          <w:szCs w:val="20"/>
        </w:rPr>
      </w:pPr>
      <w:r w:rsidRPr="003450D1">
        <w:rPr>
          <w:b/>
          <w:bCs/>
          <w:color w:val="000000"/>
          <w:sz w:val="20"/>
          <w:szCs w:val="20"/>
        </w:rPr>
        <w:t>Antioxidant Variance:</w:t>
      </w:r>
      <w:r w:rsidRPr="003450D1">
        <w:rPr>
          <w:rStyle w:val="apple-converted-space"/>
          <w:rFonts w:eastAsiaTheme="majorEastAsia"/>
          <w:color w:val="000000"/>
          <w:sz w:val="20"/>
          <w:szCs w:val="20"/>
        </w:rPr>
        <w:t> </w:t>
      </w:r>
      <w:r w:rsidRPr="003450D1">
        <w:rPr>
          <w:color w:val="000000"/>
          <w:sz w:val="20"/>
          <w:szCs w:val="20"/>
        </w:rPr>
        <w:t>Female islets showed a more consistent increase in antioxidant markers (Nrf2, HO-1, and SOD2) compared to male islets, which showed reduced SOD2.</w:t>
      </w:r>
    </w:p>
    <w:p w14:paraId="19C8CACD" w14:textId="77777777" w:rsidR="003450D1" w:rsidRPr="003450D1" w:rsidRDefault="003450D1" w:rsidP="003450D1">
      <w:pPr>
        <w:pStyle w:val="Heading2"/>
        <w:spacing w:before="0" w:after="0"/>
        <w:rPr>
          <w:rFonts w:ascii="Times New Roman" w:hAnsi="Times New Roman" w:cs="Times New Roman"/>
          <w:color w:val="000000"/>
          <w:sz w:val="20"/>
          <w:szCs w:val="20"/>
        </w:rPr>
      </w:pPr>
      <w:r w:rsidRPr="003450D1">
        <w:rPr>
          <w:rFonts w:ascii="Times New Roman" w:hAnsi="Times New Roman" w:cs="Times New Roman"/>
          <w:color w:val="000000"/>
          <w:sz w:val="20"/>
          <w:szCs w:val="20"/>
        </w:rPr>
        <w:t>Clinical Implications and Limitations</w:t>
      </w:r>
    </w:p>
    <w:p w14:paraId="4718E759" w14:textId="77777777" w:rsidR="003450D1" w:rsidRPr="003450D1" w:rsidRDefault="003450D1" w:rsidP="003450D1">
      <w:pPr>
        <w:pStyle w:val="Heading3"/>
        <w:spacing w:before="0" w:after="0"/>
        <w:rPr>
          <w:rFonts w:cs="Times New Roman"/>
          <w:color w:val="000000"/>
          <w:sz w:val="20"/>
          <w:szCs w:val="20"/>
        </w:rPr>
      </w:pPr>
      <w:r w:rsidRPr="003450D1">
        <w:rPr>
          <w:rFonts w:cs="Times New Roman"/>
          <w:color w:val="000000"/>
          <w:sz w:val="20"/>
          <w:szCs w:val="20"/>
        </w:rPr>
        <w:t>Potential Risks for T2DM Patients</w:t>
      </w:r>
    </w:p>
    <w:p w14:paraId="2170291C" w14:textId="77777777" w:rsidR="003450D1" w:rsidRPr="003450D1" w:rsidRDefault="003450D1" w:rsidP="003450D1">
      <w:pPr>
        <w:pStyle w:val="NormalWeb"/>
        <w:spacing w:before="0" w:beforeAutospacing="0" w:after="0" w:afterAutospacing="0"/>
        <w:rPr>
          <w:color w:val="000000"/>
          <w:sz w:val="20"/>
          <w:szCs w:val="20"/>
        </w:rPr>
      </w:pPr>
      <w:r w:rsidRPr="003450D1">
        <w:rPr>
          <w:color w:val="000000"/>
          <w:sz w:val="20"/>
          <w:szCs w:val="20"/>
        </w:rPr>
        <w:t>While hyperglucagonemia is often discussed in T2DM (contributing to high blood sugar), the study warns that</w:t>
      </w:r>
      <w:r w:rsidRPr="003450D1">
        <w:rPr>
          <w:rStyle w:val="apple-converted-space"/>
          <w:rFonts w:eastAsiaTheme="majorEastAsia"/>
          <w:color w:val="000000"/>
          <w:sz w:val="20"/>
          <w:szCs w:val="20"/>
        </w:rPr>
        <w:t> </w:t>
      </w:r>
      <w:r w:rsidRPr="003450D1">
        <w:rPr>
          <w:b/>
          <w:bCs/>
          <w:color w:val="000000"/>
          <w:sz w:val="20"/>
          <w:szCs w:val="20"/>
        </w:rPr>
        <w:t>insufficient</w:t>
      </w:r>
      <w:r w:rsidRPr="003450D1">
        <w:rPr>
          <w:rStyle w:val="apple-converted-space"/>
          <w:rFonts w:eastAsiaTheme="majorEastAsia"/>
          <w:color w:val="000000"/>
          <w:sz w:val="20"/>
          <w:szCs w:val="20"/>
        </w:rPr>
        <w:t> </w:t>
      </w:r>
      <w:r w:rsidRPr="003450D1">
        <w:rPr>
          <w:color w:val="000000"/>
          <w:sz w:val="20"/>
          <w:szCs w:val="20"/>
        </w:rPr>
        <w:t>glucagon secretion—driven by chronic inflammation—poses different risks:</w:t>
      </w:r>
    </w:p>
    <w:p w14:paraId="66E5E099" w14:textId="77777777" w:rsidR="003450D1" w:rsidRPr="003450D1" w:rsidRDefault="003450D1" w:rsidP="003450D1">
      <w:pPr>
        <w:numPr>
          <w:ilvl w:val="0"/>
          <w:numId w:val="83"/>
        </w:numPr>
        <w:rPr>
          <w:color w:val="000000"/>
          <w:sz w:val="20"/>
          <w:szCs w:val="20"/>
        </w:rPr>
      </w:pPr>
      <w:r w:rsidRPr="003450D1">
        <w:rPr>
          <w:b/>
          <w:bCs/>
          <w:color w:val="000000"/>
          <w:sz w:val="20"/>
          <w:szCs w:val="20"/>
        </w:rPr>
        <w:t>Hypoglycemia Risk:</w:t>
      </w:r>
      <w:r w:rsidRPr="003450D1">
        <w:rPr>
          <w:rStyle w:val="apple-converted-space"/>
          <w:rFonts w:eastAsiaTheme="majorEastAsia"/>
          <w:color w:val="000000"/>
          <w:sz w:val="20"/>
          <w:szCs w:val="20"/>
        </w:rPr>
        <w:t> </w:t>
      </w:r>
      <w:r w:rsidRPr="003450D1">
        <w:rPr>
          <w:color w:val="000000"/>
          <w:sz w:val="20"/>
          <w:szCs w:val="20"/>
        </w:rPr>
        <w:t>Reduced GCG may impair the body's "counterregulatory response" to low blood sugar, increasing the risk of severe hypoglycemic episodes.</w:t>
      </w:r>
    </w:p>
    <w:p w14:paraId="1BE64E16" w14:textId="77777777" w:rsidR="003450D1" w:rsidRPr="003450D1" w:rsidRDefault="003450D1" w:rsidP="003450D1">
      <w:pPr>
        <w:numPr>
          <w:ilvl w:val="0"/>
          <w:numId w:val="83"/>
        </w:numPr>
        <w:rPr>
          <w:color w:val="000000"/>
          <w:sz w:val="20"/>
          <w:szCs w:val="20"/>
        </w:rPr>
      </w:pPr>
      <w:r w:rsidRPr="003450D1">
        <w:rPr>
          <w:b/>
          <w:bCs/>
          <w:color w:val="000000"/>
          <w:sz w:val="20"/>
          <w:szCs w:val="20"/>
        </w:rPr>
        <w:t>Hyperglycemia Promotion:</w:t>
      </w:r>
      <w:r w:rsidRPr="003450D1">
        <w:rPr>
          <w:rStyle w:val="apple-converted-space"/>
          <w:rFonts w:eastAsiaTheme="majorEastAsia"/>
          <w:color w:val="000000"/>
          <w:sz w:val="20"/>
          <w:szCs w:val="20"/>
        </w:rPr>
        <w:t> </w:t>
      </w:r>
      <w:r w:rsidRPr="003450D1">
        <w:rPr>
          <w:color w:val="000000"/>
          <w:sz w:val="20"/>
          <w:szCs w:val="20"/>
        </w:rPr>
        <w:t>Because GCG plays a role in inhibiting insulin secretion, decreased GCG levels could paradoxically promote hyperglycemia in certain contexts.</w:t>
      </w:r>
    </w:p>
    <w:p w14:paraId="6D4E692C" w14:textId="77777777" w:rsidR="003450D1" w:rsidRPr="003450D1" w:rsidRDefault="003450D1" w:rsidP="003450D1">
      <w:pPr>
        <w:pStyle w:val="Heading3"/>
        <w:spacing w:before="0" w:after="0"/>
        <w:rPr>
          <w:rFonts w:cs="Times New Roman"/>
          <w:color w:val="000000"/>
          <w:sz w:val="20"/>
          <w:szCs w:val="20"/>
        </w:rPr>
      </w:pPr>
      <w:r w:rsidRPr="003450D1">
        <w:rPr>
          <w:rFonts w:cs="Times New Roman"/>
          <w:color w:val="000000"/>
          <w:sz w:val="20"/>
          <w:szCs w:val="20"/>
        </w:rPr>
        <w:t>Limitations</w:t>
      </w:r>
    </w:p>
    <w:p w14:paraId="7425AC40" w14:textId="77777777" w:rsidR="003450D1" w:rsidRPr="003450D1" w:rsidRDefault="003450D1" w:rsidP="003450D1">
      <w:pPr>
        <w:numPr>
          <w:ilvl w:val="0"/>
          <w:numId w:val="84"/>
        </w:numPr>
        <w:rPr>
          <w:color w:val="000000"/>
          <w:sz w:val="20"/>
          <w:szCs w:val="20"/>
        </w:rPr>
      </w:pPr>
      <w:r w:rsidRPr="003450D1">
        <w:rPr>
          <w:b/>
          <w:bCs/>
          <w:color w:val="000000"/>
          <w:sz w:val="20"/>
          <w:szCs w:val="20"/>
        </w:rPr>
        <w:t>Model Constraints:</w:t>
      </w:r>
      <w:r w:rsidRPr="003450D1">
        <w:rPr>
          <w:rStyle w:val="apple-converted-space"/>
          <w:rFonts w:eastAsiaTheme="majorEastAsia"/>
          <w:color w:val="000000"/>
          <w:sz w:val="20"/>
          <w:szCs w:val="20"/>
        </w:rPr>
        <w:t> </w:t>
      </w:r>
      <w:r w:rsidRPr="003450D1">
        <w:rPr>
          <w:color w:val="000000"/>
          <w:sz w:val="20"/>
          <w:szCs w:val="20"/>
        </w:rPr>
        <w:t>Findings are based on</w:t>
      </w:r>
      <w:r w:rsidRPr="003450D1">
        <w:rPr>
          <w:rStyle w:val="apple-converted-space"/>
          <w:rFonts w:eastAsiaTheme="majorEastAsia"/>
          <w:color w:val="000000"/>
          <w:sz w:val="20"/>
          <w:szCs w:val="20"/>
        </w:rPr>
        <w:t> </w:t>
      </w:r>
      <w:r w:rsidRPr="003450D1">
        <w:rPr>
          <w:i/>
          <w:iCs/>
          <w:color w:val="000000"/>
          <w:sz w:val="20"/>
          <w:szCs w:val="20"/>
        </w:rPr>
        <w:t>in vitro</w:t>
      </w:r>
      <w:r w:rsidRPr="003450D1">
        <w:rPr>
          <w:rStyle w:val="apple-converted-space"/>
          <w:rFonts w:eastAsiaTheme="majorEastAsia"/>
          <w:color w:val="000000"/>
          <w:sz w:val="20"/>
          <w:szCs w:val="20"/>
        </w:rPr>
        <w:t> </w:t>
      </w:r>
      <w:r w:rsidRPr="003450D1">
        <w:rPr>
          <w:color w:val="000000"/>
          <w:sz w:val="20"/>
          <w:szCs w:val="20"/>
        </w:rPr>
        <w:t>and</w:t>
      </w:r>
      <w:r w:rsidRPr="003450D1">
        <w:rPr>
          <w:rStyle w:val="apple-converted-space"/>
          <w:rFonts w:eastAsiaTheme="majorEastAsia"/>
          <w:color w:val="000000"/>
          <w:sz w:val="20"/>
          <w:szCs w:val="20"/>
        </w:rPr>
        <w:t> </w:t>
      </w:r>
      <w:r w:rsidRPr="003450D1">
        <w:rPr>
          <w:i/>
          <w:iCs/>
          <w:color w:val="000000"/>
          <w:sz w:val="20"/>
          <w:szCs w:val="20"/>
        </w:rPr>
        <w:t>ex vivo</w:t>
      </w:r>
      <w:r w:rsidRPr="003450D1">
        <w:rPr>
          <w:rStyle w:val="apple-converted-space"/>
          <w:rFonts w:eastAsiaTheme="majorEastAsia"/>
          <w:color w:val="000000"/>
          <w:sz w:val="20"/>
          <w:szCs w:val="20"/>
        </w:rPr>
        <w:t> </w:t>
      </w:r>
      <w:r w:rsidRPr="003450D1">
        <w:rPr>
          <w:color w:val="000000"/>
          <w:sz w:val="20"/>
          <w:szCs w:val="20"/>
        </w:rPr>
        <w:t>murine models, which may not fully replicate the complex environment of a living human with T2DM.</w:t>
      </w:r>
    </w:p>
    <w:p w14:paraId="644E0969" w14:textId="77777777" w:rsidR="003450D1" w:rsidRPr="003450D1" w:rsidRDefault="003450D1" w:rsidP="003450D1">
      <w:pPr>
        <w:numPr>
          <w:ilvl w:val="0"/>
          <w:numId w:val="84"/>
        </w:numPr>
        <w:rPr>
          <w:color w:val="000000"/>
          <w:sz w:val="20"/>
          <w:szCs w:val="20"/>
        </w:rPr>
      </w:pPr>
      <w:r w:rsidRPr="003450D1">
        <w:rPr>
          <w:b/>
          <w:bCs/>
          <w:color w:val="000000"/>
          <w:sz w:val="20"/>
          <w:szCs w:val="20"/>
        </w:rPr>
        <w:t>Species Differences:</w:t>
      </w:r>
      <w:r w:rsidRPr="003450D1">
        <w:rPr>
          <w:rStyle w:val="apple-converted-space"/>
          <w:rFonts w:eastAsiaTheme="majorEastAsia"/>
          <w:color w:val="000000"/>
          <w:sz w:val="20"/>
          <w:szCs w:val="20"/>
        </w:rPr>
        <w:t> </w:t>
      </w:r>
      <w:r w:rsidRPr="003450D1">
        <w:rPr>
          <w:color w:val="000000"/>
          <w:sz w:val="20"/>
          <w:szCs w:val="20"/>
        </w:rPr>
        <w:t>Islet biology varies between species; validation in human islets is required.</w:t>
      </w:r>
    </w:p>
    <w:p w14:paraId="20CBEC38" w14:textId="77777777" w:rsidR="003450D1" w:rsidRPr="003450D1" w:rsidRDefault="003450D1" w:rsidP="003450D1">
      <w:pPr>
        <w:numPr>
          <w:ilvl w:val="0"/>
          <w:numId w:val="84"/>
        </w:numPr>
        <w:rPr>
          <w:color w:val="000000"/>
          <w:sz w:val="20"/>
          <w:szCs w:val="20"/>
        </w:rPr>
      </w:pPr>
      <w:r w:rsidRPr="003450D1">
        <w:rPr>
          <w:b/>
          <w:bCs/>
          <w:color w:val="000000"/>
          <w:sz w:val="20"/>
          <w:szCs w:val="20"/>
        </w:rPr>
        <w:t>Cytokine Concentration:</w:t>
      </w:r>
      <w:r w:rsidRPr="003450D1">
        <w:rPr>
          <w:rStyle w:val="apple-converted-space"/>
          <w:rFonts w:eastAsiaTheme="majorEastAsia"/>
          <w:color w:val="000000"/>
          <w:sz w:val="20"/>
          <w:szCs w:val="20"/>
        </w:rPr>
        <w:t> </w:t>
      </w:r>
      <w:r w:rsidRPr="003450D1">
        <w:rPr>
          <w:color w:val="000000"/>
          <w:sz w:val="20"/>
          <w:szCs w:val="20"/>
        </w:rPr>
        <w:t>Effects are highly dependent on concentration. High cytokine levels (beyond those used here) are known to trigger cell death rather than just dysfunction.</w:t>
      </w:r>
    </w:p>
    <w:p w14:paraId="4A31E979" w14:textId="77777777" w:rsidR="003450D1" w:rsidRPr="003450D1" w:rsidRDefault="003450D1" w:rsidP="003450D1">
      <w:pPr>
        <w:pStyle w:val="Heading2"/>
        <w:spacing w:before="0" w:after="0"/>
        <w:rPr>
          <w:rFonts w:ascii="Times New Roman" w:hAnsi="Times New Roman" w:cs="Times New Roman"/>
          <w:color w:val="000000"/>
          <w:sz w:val="20"/>
          <w:szCs w:val="20"/>
        </w:rPr>
      </w:pPr>
      <w:r w:rsidRPr="003450D1">
        <w:rPr>
          <w:rFonts w:ascii="Times New Roman" w:hAnsi="Times New Roman" w:cs="Times New Roman"/>
          <w:color w:val="000000"/>
          <w:sz w:val="20"/>
          <w:szCs w:val="20"/>
        </w:rPr>
        <w:t>Conclusion</w:t>
      </w:r>
    </w:p>
    <w:p w14:paraId="77D6AB95" w14:textId="77777777" w:rsidR="003450D1" w:rsidRPr="003450D1" w:rsidRDefault="003450D1" w:rsidP="003450D1">
      <w:pPr>
        <w:pStyle w:val="NormalWeb"/>
        <w:spacing w:before="0" w:beforeAutospacing="0" w:after="0" w:afterAutospacing="0"/>
        <w:rPr>
          <w:color w:val="000000"/>
          <w:sz w:val="20"/>
          <w:szCs w:val="20"/>
        </w:rPr>
      </w:pPr>
      <w:r w:rsidRPr="003450D1">
        <w:rPr>
          <w:color w:val="000000"/>
          <w:sz w:val="20"/>
          <w:szCs w:val="20"/>
        </w:rPr>
        <w:t>Inflammatory cytokines are potent modulators of \alpha-cell function. By activating NF-\</w:t>
      </w:r>
      <w:proofErr w:type="spellStart"/>
      <w:r w:rsidRPr="003450D1">
        <w:rPr>
          <w:color w:val="000000"/>
          <w:sz w:val="20"/>
          <w:szCs w:val="20"/>
        </w:rPr>
        <w:t>kappaB</w:t>
      </w:r>
      <w:proofErr w:type="spellEnd"/>
      <w:r w:rsidRPr="003450D1">
        <w:rPr>
          <w:color w:val="000000"/>
          <w:sz w:val="20"/>
          <w:szCs w:val="20"/>
        </w:rPr>
        <w:t xml:space="preserve"> and Nrf2 pathways, these cytokines disrupt the balance of transcription factors (PDX1, PAX6, </w:t>
      </w:r>
      <w:proofErr w:type="spellStart"/>
      <w:r w:rsidRPr="003450D1">
        <w:rPr>
          <w:color w:val="000000"/>
          <w:sz w:val="20"/>
          <w:szCs w:val="20"/>
        </w:rPr>
        <w:t>MafB</w:t>
      </w:r>
      <w:proofErr w:type="spellEnd"/>
      <w:r w:rsidRPr="003450D1">
        <w:rPr>
          <w:color w:val="000000"/>
          <w:sz w:val="20"/>
          <w:szCs w:val="20"/>
        </w:rPr>
        <w:t>), leading to a profound suppression of glucagon expression and secretion. This research provides a novel understanding of how the inflammatory milieu of obesity contributes to the broader endocrine dysfunction observed in pancreatic islets.</w:t>
      </w:r>
    </w:p>
    <w:p w14:paraId="06674FB3" w14:textId="77777777" w:rsidR="003450D1" w:rsidRDefault="003450D1" w:rsidP="003450D1">
      <w:pPr>
        <w:rPr>
          <w:b/>
          <w:bCs/>
          <w:color w:val="131314"/>
          <w:sz w:val="20"/>
          <w:szCs w:val="20"/>
        </w:rPr>
      </w:pPr>
    </w:p>
    <w:sectPr w:rsidR="003450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C2970"/>
    <w:multiLevelType w:val="hybridMultilevel"/>
    <w:tmpl w:val="78D02E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4D1D25"/>
    <w:multiLevelType w:val="multilevel"/>
    <w:tmpl w:val="BA1C6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9C0B31"/>
    <w:multiLevelType w:val="multilevel"/>
    <w:tmpl w:val="3036D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C93BED"/>
    <w:multiLevelType w:val="multilevel"/>
    <w:tmpl w:val="77BCD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DA03D3"/>
    <w:multiLevelType w:val="multilevel"/>
    <w:tmpl w:val="BDE6B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585FB0"/>
    <w:multiLevelType w:val="multilevel"/>
    <w:tmpl w:val="36D28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0C45D5"/>
    <w:multiLevelType w:val="multilevel"/>
    <w:tmpl w:val="8D3E2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3F782E"/>
    <w:multiLevelType w:val="hybridMultilevel"/>
    <w:tmpl w:val="8E7EE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C1587B"/>
    <w:multiLevelType w:val="multilevel"/>
    <w:tmpl w:val="4E8A8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626E9C"/>
    <w:multiLevelType w:val="multilevel"/>
    <w:tmpl w:val="62C6E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317129C"/>
    <w:multiLevelType w:val="multilevel"/>
    <w:tmpl w:val="60A89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3C77FEE"/>
    <w:multiLevelType w:val="multilevel"/>
    <w:tmpl w:val="2A823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B80FDF"/>
    <w:multiLevelType w:val="multilevel"/>
    <w:tmpl w:val="08A2A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5A63439"/>
    <w:multiLevelType w:val="multilevel"/>
    <w:tmpl w:val="5666F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7C63CEF"/>
    <w:multiLevelType w:val="multilevel"/>
    <w:tmpl w:val="AD145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98372DC"/>
    <w:multiLevelType w:val="multilevel"/>
    <w:tmpl w:val="7E389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A0438C2"/>
    <w:multiLevelType w:val="multilevel"/>
    <w:tmpl w:val="6C5C7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A4A4DE1"/>
    <w:multiLevelType w:val="multilevel"/>
    <w:tmpl w:val="E83CF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BC46351"/>
    <w:multiLevelType w:val="multilevel"/>
    <w:tmpl w:val="BF522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E097A3E"/>
    <w:multiLevelType w:val="multilevel"/>
    <w:tmpl w:val="CB2E4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EFC70A3"/>
    <w:multiLevelType w:val="multilevel"/>
    <w:tmpl w:val="94EC92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1" w15:restartNumberingAfterBreak="0">
    <w:nsid w:val="2362188B"/>
    <w:multiLevelType w:val="multilevel"/>
    <w:tmpl w:val="78888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9BF4E7D"/>
    <w:multiLevelType w:val="hybridMultilevel"/>
    <w:tmpl w:val="C48A615E"/>
    <w:lvl w:ilvl="0" w:tplc="04090001">
      <w:start w:val="1"/>
      <w:numFmt w:val="bullet"/>
      <w:lvlText w:val=""/>
      <w:lvlJc w:val="left"/>
      <w:pPr>
        <w:ind w:left="11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5" w:hanging="360"/>
      </w:pPr>
      <w:rPr>
        <w:rFonts w:ascii="Wingdings" w:hAnsi="Wingdings" w:hint="default"/>
      </w:rPr>
    </w:lvl>
  </w:abstractNum>
  <w:abstractNum w:abstractNumId="23" w15:restartNumberingAfterBreak="0">
    <w:nsid w:val="2A164353"/>
    <w:multiLevelType w:val="multilevel"/>
    <w:tmpl w:val="EEACD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A996759"/>
    <w:multiLevelType w:val="multilevel"/>
    <w:tmpl w:val="3F949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D3C1476"/>
    <w:multiLevelType w:val="multilevel"/>
    <w:tmpl w:val="3DD46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EA52854"/>
    <w:multiLevelType w:val="hybridMultilevel"/>
    <w:tmpl w:val="B81CB9F6"/>
    <w:lvl w:ilvl="0" w:tplc="94748E5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E07B84"/>
    <w:multiLevelType w:val="multilevel"/>
    <w:tmpl w:val="967A5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61636D1"/>
    <w:multiLevelType w:val="multilevel"/>
    <w:tmpl w:val="37365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8AA06F4"/>
    <w:multiLevelType w:val="multilevel"/>
    <w:tmpl w:val="C5CC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ACC5BF7"/>
    <w:multiLevelType w:val="multilevel"/>
    <w:tmpl w:val="A044D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ADA71EF"/>
    <w:multiLevelType w:val="multilevel"/>
    <w:tmpl w:val="5D389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C831DA5"/>
    <w:multiLevelType w:val="multilevel"/>
    <w:tmpl w:val="F9A82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D633F61"/>
    <w:multiLevelType w:val="multilevel"/>
    <w:tmpl w:val="7E308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E3E1EF3"/>
    <w:multiLevelType w:val="multilevel"/>
    <w:tmpl w:val="16229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EA04F7E"/>
    <w:multiLevelType w:val="multilevel"/>
    <w:tmpl w:val="C41E3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ECC4BB6"/>
    <w:multiLevelType w:val="multilevel"/>
    <w:tmpl w:val="A29CC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F5441BC"/>
    <w:multiLevelType w:val="hybridMultilevel"/>
    <w:tmpl w:val="A0380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0860675"/>
    <w:multiLevelType w:val="multilevel"/>
    <w:tmpl w:val="A98AB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0F24C0A"/>
    <w:multiLevelType w:val="multilevel"/>
    <w:tmpl w:val="C742C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140708F"/>
    <w:multiLevelType w:val="multilevel"/>
    <w:tmpl w:val="D2A6E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4CC022F"/>
    <w:multiLevelType w:val="multilevel"/>
    <w:tmpl w:val="0C22E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6A86612"/>
    <w:multiLevelType w:val="hybridMultilevel"/>
    <w:tmpl w:val="3F064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AA29B1"/>
    <w:multiLevelType w:val="multilevel"/>
    <w:tmpl w:val="3E5E1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7D751B9"/>
    <w:multiLevelType w:val="multilevel"/>
    <w:tmpl w:val="D082B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7F078E4"/>
    <w:multiLevelType w:val="multilevel"/>
    <w:tmpl w:val="16FE6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CCB48AD"/>
    <w:multiLevelType w:val="multilevel"/>
    <w:tmpl w:val="CBDA0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E50187A"/>
    <w:multiLevelType w:val="multilevel"/>
    <w:tmpl w:val="7148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F1F2EFD"/>
    <w:multiLevelType w:val="hybridMultilevel"/>
    <w:tmpl w:val="899C8E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C91B51"/>
    <w:multiLevelType w:val="multilevel"/>
    <w:tmpl w:val="387C4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0627B42"/>
    <w:multiLevelType w:val="multilevel"/>
    <w:tmpl w:val="BCC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06325DB"/>
    <w:multiLevelType w:val="multilevel"/>
    <w:tmpl w:val="16B80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09C3A5D"/>
    <w:multiLevelType w:val="multilevel"/>
    <w:tmpl w:val="6AFE0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18A6EB9"/>
    <w:multiLevelType w:val="multilevel"/>
    <w:tmpl w:val="231EA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31639D2"/>
    <w:multiLevelType w:val="multilevel"/>
    <w:tmpl w:val="C0062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3C3224D"/>
    <w:multiLevelType w:val="multilevel"/>
    <w:tmpl w:val="58A07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5EF793C"/>
    <w:multiLevelType w:val="multilevel"/>
    <w:tmpl w:val="8BDC1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56A54B0A"/>
    <w:multiLevelType w:val="multilevel"/>
    <w:tmpl w:val="E99CA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B522F53"/>
    <w:multiLevelType w:val="multilevel"/>
    <w:tmpl w:val="8A123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DD21E68"/>
    <w:multiLevelType w:val="multilevel"/>
    <w:tmpl w:val="7D664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F102C06"/>
    <w:multiLevelType w:val="multilevel"/>
    <w:tmpl w:val="3104C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03D6153"/>
    <w:multiLevelType w:val="hybridMultilevel"/>
    <w:tmpl w:val="F1504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06D76A9"/>
    <w:multiLevelType w:val="multilevel"/>
    <w:tmpl w:val="0D6EA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38F2550"/>
    <w:multiLevelType w:val="hybridMultilevel"/>
    <w:tmpl w:val="73982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40B406E"/>
    <w:multiLevelType w:val="multilevel"/>
    <w:tmpl w:val="1A6C1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4BD70D2"/>
    <w:multiLevelType w:val="multilevel"/>
    <w:tmpl w:val="D56AE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4F731C2"/>
    <w:multiLevelType w:val="multilevel"/>
    <w:tmpl w:val="2DC66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9467A72"/>
    <w:multiLevelType w:val="multilevel"/>
    <w:tmpl w:val="6B483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AD40AD5"/>
    <w:multiLevelType w:val="multilevel"/>
    <w:tmpl w:val="90CC6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6C473211"/>
    <w:multiLevelType w:val="multilevel"/>
    <w:tmpl w:val="E73EC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6C7E603A"/>
    <w:multiLevelType w:val="multilevel"/>
    <w:tmpl w:val="D28E2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6C8E6251"/>
    <w:multiLevelType w:val="multilevel"/>
    <w:tmpl w:val="FAC87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CB8165E"/>
    <w:multiLevelType w:val="multilevel"/>
    <w:tmpl w:val="AD58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6CFF2FF6"/>
    <w:multiLevelType w:val="multilevel"/>
    <w:tmpl w:val="4A147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DC200CE"/>
    <w:multiLevelType w:val="hybridMultilevel"/>
    <w:tmpl w:val="F4888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0DC6C9F"/>
    <w:multiLevelType w:val="multilevel"/>
    <w:tmpl w:val="A8925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1395933"/>
    <w:multiLevelType w:val="multilevel"/>
    <w:tmpl w:val="6EB6C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3194CAA"/>
    <w:multiLevelType w:val="multilevel"/>
    <w:tmpl w:val="D91CA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7519219E"/>
    <w:multiLevelType w:val="multilevel"/>
    <w:tmpl w:val="CDAE0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76055D33"/>
    <w:multiLevelType w:val="multilevel"/>
    <w:tmpl w:val="824E7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78AE102C"/>
    <w:multiLevelType w:val="multilevel"/>
    <w:tmpl w:val="3BC08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7A2C47D4"/>
    <w:multiLevelType w:val="multilevel"/>
    <w:tmpl w:val="8D50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7B0B3A73"/>
    <w:multiLevelType w:val="hybridMultilevel"/>
    <w:tmpl w:val="0740A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B35649C"/>
    <w:multiLevelType w:val="multilevel"/>
    <w:tmpl w:val="FED85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2254067">
    <w:abstractNumId w:val="42"/>
  </w:num>
  <w:num w:numId="2" w16cid:durableId="1990866663">
    <w:abstractNumId w:val="82"/>
  </w:num>
  <w:num w:numId="3" w16cid:durableId="1083834980">
    <w:abstractNumId w:val="74"/>
  </w:num>
  <w:num w:numId="4" w16cid:durableId="1104958541">
    <w:abstractNumId w:val="63"/>
  </w:num>
  <w:num w:numId="5" w16cid:durableId="1302538259">
    <w:abstractNumId w:val="22"/>
  </w:num>
  <w:num w:numId="6" w16cid:durableId="1689480912">
    <w:abstractNumId w:val="0"/>
  </w:num>
  <w:num w:numId="7" w16cid:durableId="1123619722">
    <w:abstractNumId w:val="37"/>
  </w:num>
  <w:num w:numId="8" w16cid:durableId="841704486">
    <w:abstractNumId w:val="61"/>
  </w:num>
  <w:num w:numId="9" w16cid:durableId="358552443">
    <w:abstractNumId w:val="7"/>
  </w:num>
  <w:num w:numId="10" w16cid:durableId="1909220594">
    <w:abstractNumId w:val="8"/>
  </w:num>
  <w:num w:numId="11" w16cid:durableId="1843932236">
    <w:abstractNumId w:val="62"/>
  </w:num>
  <w:num w:numId="12" w16cid:durableId="859390183">
    <w:abstractNumId w:val="4"/>
  </w:num>
  <w:num w:numId="13" w16cid:durableId="1802503735">
    <w:abstractNumId w:val="12"/>
  </w:num>
  <w:num w:numId="14" w16cid:durableId="877936301">
    <w:abstractNumId w:val="26"/>
  </w:num>
  <w:num w:numId="15" w16cid:durableId="1212310209">
    <w:abstractNumId w:val="48"/>
  </w:num>
  <w:num w:numId="16" w16cid:durableId="1164400272">
    <w:abstractNumId w:val="20"/>
  </w:num>
  <w:num w:numId="17" w16cid:durableId="974991403">
    <w:abstractNumId w:val="77"/>
  </w:num>
  <w:num w:numId="18" w16cid:durableId="784887784">
    <w:abstractNumId w:val="27"/>
  </w:num>
  <w:num w:numId="19" w16cid:durableId="1804888128">
    <w:abstractNumId w:val="68"/>
  </w:num>
  <w:num w:numId="20" w16cid:durableId="1220357442">
    <w:abstractNumId w:val="21"/>
  </w:num>
  <w:num w:numId="21" w16cid:durableId="1080254529">
    <w:abstractNumId w:val="71"/>
  </w:num>
  <w:num w:numId="22" w16cid:durableId="812452886">
    <w:abstractNumId w:val="67"/>
  </w:num>
  <w:num w:numId="23" w16cid:durableId="484127111">
    <w:abstractNumId w:val="69"/>
  </w:num>
  <w:num w:numId="24" w16cid:durableId="1234968398">
    <w:abstractNumId w:val="46"/>
  </w:num>
  <w:num w:numId="25" w16cid:durableId="1855194197">
    <w:abstractNumId w:val="11"/>
  </w:num>
  <w:num w:numId="26" w16cid:durableId="1657299415">
    <w:abstractNumId w:val="50"/>
  </w:num>
  <w:num w:numId="27" w16cid:durableId="1696886233">
    <w:abstractNumId w:val="41"/>
  </w:num>
  <w:num w:numId="28" w16cid:durableId="833492615">
    <w:abstractNumId w:val="72"/>
  </w:num>
  <w:num w:numId="29" w16cid:durableId="194849902">
    <w:abstractNumId w:val="60"/>
  </w:num>
  <w:num w:numId="30" w16cid:durableId="396978023">
    <w:abstractNumId w:val="40"/>
  </w:num>
  <w:num w:numId="31" w16cid:durableId="1568495420">
    <w:abstractNumId w:val="29"/>
  </w:num>
  <w:num w:numId="32" w16cid:durableId="1402948218">
    <w:abstractNumId w:val="66"/>
  </w:num>
  <w:num w:numId="33" w16cid:durableId="1378966778">
    <w:abstractNumId w:val="9"/>
  </w:num>
  <w:num w:numId="34" w16cid:durableId="1884439609">
    <w:abstractNumId w:val="35"/>
  </w:num>
  <w:num w:numId="35" w16cid:durableId="1714572322">
    <w:abstractNumId w:val="3"/>
  </w:num>
  <w:num w:numId="36" w16cid:durableId="1958833998">
    <w:abstractNumId w:val="73"/>
  </w:num>
  <w:num w:numId="37" w16cid:durableId="1479153968">
    <w:abstractNumId w:val="52"/>
  </w:num>
  <w:num w:numId="38" w16cid:durableId="411438706">
    <w:abstractNumId w:val="6"/>
  </w:num>
  <w:num w:numId="39" w16cid:durableId="238372950">
    <w:abstractNumId w:val="59"/>
  </w:num>
  <w:num w:numId="40" w16cid:durableId="993946927">
    <w:abstractNumId w:val="49"/>
  </w:num>
  <w:num w:numId="41" w16cid:durableId="995188166">
    <w:abstractNumId w:val="2"/>
  </w:num>
  <w:num w:numId="42" w16cid:durableId="2078547866">
    <w:abstractNumId w:val="44"/>
  </w:num>
  <w:num w:numId="43" w16cid:durableId="1547108732">
    <w:abstractNumId w:val="14"/>
  </w:num>
  <w:num w:numId="44" w16cid:durableId="423918487">
    <w:abstractNumId w:val="32"/>
  </w:num>
  <w:num w:numId="45" w16cid:durableId="1559246648">
    <w:abstractNumId w:val="17"/>
  </w:num>
  <w:num w:numId="46" w16cid:durableId="837689815">
    <w:abstractNumId w:val="33"/>
  </w:num>
  <w:num w:numId="47" w16cid:durableId="1072041975">
    <w:abstractNumId w:val="75"/>
  </w:num>
  <w:num w:numId="48" w16cid:durableId="2122337356">
    <w:abstractNumId w:val="16"/>
  </w:num>
  <w:num w:numId="49" w16cid:durableId="125392788">
    <w:abstractNumId w:val="57"/>
  </w:num>
  <w:num w:numId="50" w16cid:durableId="776949146">
    <w:abstractNumId w:val="83"/>
  </w:num>
  <w:num w:numId="51" w16cid:durableId="1263420352">
    <w:abstractNumId w:val="53"/>
  </w:num>
  <w:num w:numId="52" w16cid:durableId="1291133133">
    <w:abstractNumId w:val="64"/>
  </w:num>
  <w:num w:numId="53" w16cid:durableId="1097948013">
    <w:abstractNumId w:val="10"/>
  </w:num>
  <w:num w:numId="54" w16cid:durableId="1887372075">
    <w:abstractNumId w:val="34"/>
  </w:num>
  <w:num w:numId="55" w16cid:durableId="1433941743">
    <w:abstractNumId w:val="31"/>
  </w:num>
  <w:num w:numId="56" w16cid:durableId="2080664905">
    <w:abstractNumId w:val="28"/>
  </w:num>
  <w:num w:numId="57" w16cid:durableId="16542446">
    <w:abstractNumId w:val="79"/>
  </w:num>
  <w:num w:numId="58" w16cid:durableId="1577858047">
    <w:abstractNumId w:val="81"/>
  </w:num>
  <w:num w:numId="59" w16cid:durableId="471481042">
    <w:abstractNumId w:val="76"/>
  </w:num>
  <w:num w:numId="60" w16cid:durableId="1325862406">
    <w:abstractNumId w:val="43"/>
  </w:num>
  <w:num w:numId="61" w16cid:durableId="791826575">
    <w:abstractNumId w:val="23"/>
  </w:num>
  <w:num w:numId="62" w16cid:durableId="1829513565">
    <w:abstractNumId w:val="51"/>
  </w:num>
  <w:num w:numId="63" w16cid:durableId="123936042">
    <w:abstractNumId w:val="1"/>
  </w:num>
  <w:num w:numId="64" w16cid:durableId="921765036">
    <w:abstractNumId w:val="18"/>
  </w:num>
  <w:num w:numId="65" w16cid:durableId="1455439291">
    <w:abstractNumId w:val="19"/>
  </w:num>
  <w:num w:numId="66" w16cid:durableId="1891453731">
    <w:abstractNumId w:val="65"/>
  </w:num>
  <w:num w:numId="67" w16cid:durableId="1492790857">
    <w:abstractNumId w:val="47"/>
  </w:num>
  <w:num w:numId="68" w16cid:durableId="1585919785">
    <w:abstractNumId w:val="78"/>
  </w:num>
  <w:num w:numId="69" w16cid:durableId="500894610">
    <w:abstractNumId w:val="58"/>
  </w:num>
  <w:num w:numId="70" w16cid:durableId="907422407">
    <w:abstractNumId w:val="13"/>
  </w:num>
  <w:num w:numId="71" w16cid:durableId="208879825">
    <w:abstractNumId w:val="54"/>
  </w:num>
  <w:num w:numId="72" w16cid:durableId="951279645">
    <w:abstractNumId w:val="39"/>
  </w:num>
  <w:num w:numId="73" w16cid:durableId="698897890">
    <w:abstractNumId w:val="80"/>
  </w:num>
  <w:num w:numId="74" w16cid:durableId="1598833630">
    <w:abstractNumId w:val="15"/>
  </w:num>
  <w:num w:numId="75" w16cid:durableId="1416321720">
    <w:abstractNumId w:val="24"/>
  </w:num>
  <w:num w:numId="76" w16cid:durableId="1626349081">
    <w:abstractNumId w:val="5"/>
  </w:num>
  <w:num w:numId="77" w16cid:durableId="1564756262">
    <w:abstractNumId w:val="56"/>
  </w:num>
  <w:num w:numId="78" w16cid:durableId="1396077414">
    <w:abstractNumId w:val="70"/>
  </w:num>
  <w:num w:numId="79" w16cid:durableId="1257638987">
    <w:abstractNumId w:val="55"/>
  </w:num>
  <w:num w:numId="80" w16cid:durableId="992415976">
    <w:abstractNumId w:val="45"/>
  </w:num>
  <w:num w:numId="81" w16cid:durableId="145241152">
    <w:abstractNumId w:val="30"/>
  </w:num>
  <w:num w:numId="82" w16cid:durableId="144517837">
    <w:abstractNumId w:val="36"/>
  </w:num>
  <w:num w:numId="83" w16cid:durableId="1176262372">
    <w:abstractNumId w:val="38"/>
  </w:num>
  <w:num w:numId="84" w16cid:durableId="1176258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6ED"/>
    <w:rsid w:val="00023C38"/>
    <w:rsid w:val="00047DC0"/>
    <w:rsid w:val="00076BBB"/>
    <w:rsid w:val="00170CAA"/>
    <w:rsid w:val="001D6C94"/>
    <w:rsid w:val="002135AA"/>
    <w:rsid w:val="003450D1"/>
    <w:rsid w:val="003653C9"/>
    <w:rsid w:val="00465BB0"/>
    <w:rsid w:val="0046682A"/>
    <w:rsid w:val="00523900"/>
    <w:rsid w:val="0059732A"/>
    <w:rsid w:val="005C786F"/>
    <w:rsid w:val="005D7E19"/>
    <w:rsid w:val="00601183"/>
    <w:rsid w:val="00611189"/>
    <w:rsid w:val="00645F9B"/>
    <w:rsid w:val="00667B50"/>
    <w:rsid w:val="006737AF"/>
    <w:rsid w:val="006C5590"/>
    <w:rsid w:val="00822424"/>
    <w:rsid w:val="00825680"/>
    <w:rsid w:val="008536ED"/>
    <w:rsid w:val="009A1FC0"/>
    <w:rsid w:val="009B50A8"/>
    <w:rsid w:val="00B03786"/>
    <w:rsid w:val="00BE1B78"/>
    <w:rsid w:val="00CA6C87"/>
    <w:rsid w:val="00CC11F1"/>
    <w:rsid w:val="00CF76F3"/>
    <w:rsid w:val="00D46EDE"/>
    <w:rsid w:val="00DA4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DF363"/>
  <w15:chartTrackingRefBased/>
  <w15:docId w15:val="{1A40A1A8-985A-E84C-A642-CD9D44EB4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C8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36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36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36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36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36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36E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36E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36E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36E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36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536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36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36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36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36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36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36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36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36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36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36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36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36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36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36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36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6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6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36ED"/>
    <w:rPr>
      <w:b/>
      <w:bCs/>
      <w:smallCaps/>
      <w:color w:val="0F476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6C559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semiHidden/>
    <w:unhideWhenUsed/>
    <w:rsid w:val="00D46ED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D46E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0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00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2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5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0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6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9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5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6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9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4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1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3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7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1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8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3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5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3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3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9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3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3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9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2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1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1077</Words>
  <Characters>6144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Westley PhD</dc:creator>
  <cp:keywords/>
  <dc:description/>
  <cp:lastModifiedBy>Teresa De Toni</cp:lastModifiedBy>
  <cp:revision>20</cp:revision>
  <dcterms:created xsi:type="dcterms:W3CDTF">2025-12-18T19:25:00Z</dcterms:created>
  <dcterms:modified xsi:type="dcterms:W3CDTF">2026-06-16T01:54:00Z</dcterms:modified>
</cp:coreProperties>
</file>