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3FA4" w14:textId="023396D1" w:rsidR="008536ED" w:rsidRPr="00B82D2D" w:rsidRDefault="008536ED" w:rsidP="008536ED">
      <w:pPr>
        <w:shd w:val="clear" w:color="auto" w:fill="FFFFFF"/>
        <w:outlineLvl w:val="1"/>
        <w:rPr>
          <w:b/>
          <w:bCs/>
          <w:sz w:val="36"/>
          <w:szCs w:val="36"/>
        </w:rPr>
      </w:pPr>
      <w:r w:rsidRPr="00B82D2D">
        <w:rPr>
          <w:b/>
          <w:bCs/>
          <w:color w:val="131314"/>
          <w:sz w:val="28"/>
          <w:szCs w:val="28"/>
        </w:rPr>
        <w:t>SUMMARY (</w:t>
      </w:r>
      <w:r w:rsidR="00DA458D">
        <w:rPr>
          <w:b/>
          <w:bCs/>
          <w:color w:val="131314"/>
          <w:sz w:val="28"/>
          <w:szCs w:val="28"/>
        </w:rPr>
        <w:t>Cutting edge</w:t>
      </w:r>
      <w:r w:rsidRPr="00B82D2D">
        <w:rPr>
          <w:b/>
          <w:bCs/>
          <w:color w:val="131314"/>
          <w:sz w:val="28"/>
          <w:szCs w:val="28"/>
        </w:rPr>
        <w:t xml:space="preserve">) </w:t>
      </w:r>
      <w:r w:rsidR="00076BBB">
        <w:rPr>
          <w:b/>
          <w:bCs/>
          <w:color w:val="131314"/>
          <w:sz w:val="28"/>
          <w:szCs w:val="28"/>
        </w:rPr>
        <w:t>0</w:t>
      </w:r>
      <w:r w:rsidR="002135AA">
        <w:rPr>
          <w:b/>
          <w:bCs/>
          <w:color w:val="131314"/>
          <w:sz w:val="28"/>
          <w:szCs w:val="28"/>
        </w:rPr>
        <w:t>5</w:t>
      </w:r>
      <w:r w:rsidR="001D6C94">
        <w:rPr>
          <w:b/>
          <w:bCs/>
          <w:color w:val="131314"/>
          <w:sz w:val="28"/>
          <w:szCs w:val="28"/>
        </w:rPr>
        <w:t>/</w:t>
      </w:r>
      <w:r w:rsidR="002135AA">
        <w:rPr>
          <w:b/>
          <w:bCs/>
          <w:color w:val="131314"/>
          <w:sz w:val="28"/>
          <w:szCs w:val="28"/>
        </w:rPr>
        <w:t>29</w:t>
      </w:r>
      <w:r w:rsidRPr="00B82D2D">
        <w:rPr>
          <w:b/>
          <w:bCs/>
          <w:color w:val="131314"/>
          <w:sz w:val="28"/>
          <w:szCs w:val="28"/>
        </w:rPr>
        <w:t>/2</w:t>
      </w:r>
      <w:r w:rsidR="00076BBB">
        <w:rPr>
          <w:b/>
          <w:bCs/>
          <w:color w:val="131314"/>
          <w:sz w:val="28"/>
          <w:szCs w:val="28"/>
        </w:rPr>
        <w:t>6</w:t>
      </w:r>
      <w:r w:rsidR="006C5590">
        <w:rPr>
          <w:b/>
          <w:bCs/>
          <w:sz w:val="36"/>
          <w:szCs w:val="36"/>
        </w:rPr>
        <w:t xml:space="preserve"> </w:t>
      </w:r>
      <w:r w:rsidRPr="00B82D2D">
        <w:rPr>
          <w:b/>
          <w:bCs/>
          <w:color w:val="FF2F92"/>
          <w:sz w:val="28"/>
          <w:szCs w:val="28"/>
        </w:rPr>
        <w:t>ciT1zen science</w:t>
      </w:r>
    </w:p>
    <w:p w14:paraId="0E319AF6" w14:textId="77777777" w:rsidR="00822424" w:rsidRDefault="00822424">
      <w:pPr>
        <w:rPr>
          <w:color w:val="131314"/>
          <w:sz w:val="28"/>
          <w:szCs w:val="28"/>
        </w:rPr>
      </w:pPr>
    </w:p>
    <w:p w14:paraId="054E70BB" w14:textId="420CF0A0" w:rsidR="006C5590" w:rsidRPr="00CA6C87" w:rsidRDefault="002135AA" w:rsidP="00CA6C87">
      <w:pPr>
        <w:rPr>
          <w:b/>
          <w:bCs/>
          <w:color w:val="131314"/>
          <w:sz w:val="20"/>
          <w:szCs w:val="20"/>
        </w:rPr>
      </w:pPr>
      <w:r w:rsidRPr="002135AA">
        <w:rPr>
          <w:b/>
          <w:bCs/>
          <w:color w:val="131314"/>
          <w:sz w:val="20"/>
          <w:szCs w:val="20"/>
        </w:rPr>
        <w:t>A surviving beta cell subpopulation enriched in patients with T1D</w:t>
      </w:r>
      <w:r>
        <w:rPr>
          <w:b/>
          <w:bCs/>
          <w:color w:val="131314"/>
          <w:sz w:val="20"/>
          <w:szCs w:val="20"/>
        </w:rPr>
        <w:t xml:space="preserve"> </w:t>
      </w:r>
      <w:r w:rsidR="006C5590" w:rsidRPr="006C5590">
        <w:rPr>
          <w:b/>
          <w:bCs/>
          <w:color w:val="FF2F92"/>
          <w:sz w:val="20"/>
          <w:szCs w:val="20"/>
        </w:rPr>
        <w:t>ciT1zen science</w:t>
      </w:r>
      <w:r w:rsidR="006C5590">
        <w:rPr>
          <w:b/>
          <w:bCs/>
          <w:color w:val="FF2F92"/>
          <w:sz w:val="20"/>
          <w:szCs w:val="20"/>
        </w:rPr>
        <w:t xml:space="preserve"> summary</w:t>
      </w:r>
    </w:p>
    <w:p w14:paraId="0B7CBAF5" w14:textId="77777777" w:rsidR="00076BBB" w:rsidRDefault="00076BBB">
      <w:pPr>
        <w:rPr>
          <w:b/>
          <w:bCs/>
          <w:color w:val="FF2F92"/>
          <w:sz w:val="20"/>
          <w:szCs w:val="20"/>
        </w:rPr>
      </w:pPr>
    </w:p>
    <w:p w14:paraId="3017C2FD" w14:textId="422122B2" w:rsidR="00076BBB" w:rsidRDefault="00076BBB">
      <w:pPr>
        <w:rPr>
          <w:color w:val="131314"/>
          <w:sz w:val="20"/>
          <w:szCs w:val="20"/>
        </w:rPr>
      </w:pPr>
      <w:r>
        <w:rPr>
          <w:b/>
          <w:bCs/>
          <w:color w:val="131314"/>
          <w:sz w:val="20"/>
          <w:szCs w:val="20"/>
        </w:rPr>
        <w:t xml:space="preserve">Source: </w:t>
      </w:r>
      <w:r>
        <w:rPr>
          <w:color w:val="131314"/>
          <w:sz w:val="20"/>
          <w:szCs w:val="20"/>
        </w:rPr>
        <w:t>Excerpts from “</w:t>
      </w:r>
      <w:r w:rsidR="002135AA" w:rsidRPr="002135AA">
        <w:rPr>
          <w:color w:val="131314"/>
          <w:sz w:val="20"/>
          <w:szCs w:val="20"/>
        </w:rPr>
        <w:t>A surviving beta cell subpopulation enriched in patients with T1D</w:t>
      </w:r>
      <w:r w:rsidR="00CA6C87" w:rsidRPr="00CA6C87">
        <w:rPr>
          <w:color w:val="131314"/>
          <w:sz w:val="20"/>
          <w:szCs w:val="20"/>
        </w:rPr>
        <w:t xml:space="preserve"> </w:t>
      </w:r>
      <w:r w:rsidR="00523900">
        <w:rPr>
          <w:color w:val="131314"/>
          <w:sz w:val="20"/>
          <w:szCs w:val="20"/>
        </w:rPr>
        <w:t xml:space="preserve">| </w:t>
      </w:r>
      <w:proofErr w:type="spellStart"/>
      <w:r w:rsidR="002135AA">
        <w:rPr>
          <w:color w:val="131314"/>
          <w:sz w:val="20"/>
          <w:szCs w:val="20"/>
        </w:rPr>
        <w:t>bioRxiv</w:t>
      </w:r>
      <w:proofErr w:type="spellEnd"/>
      <w:r>
        <w:rPr>
          <w:color w:val="131314"/>
          <w:sz w:val="20"/>
          <w:szCs w:val="20"/>
        </w:rPr>
        <w:t>”</w:t>
      </w:r>
    </w:p>
    <w:p w14:paraId="3D29C32E" w14:textId="073A1769" w:rsidR="00076BBB" w:rsidRPr="00076BBB" w:rsidRDefault="00076BBB">
      <w:pPr>
        <w:rPr>
          <w:b/>
          <w:bCs/>
          <w:color w:val="131314"/>
          <w:sz w:val="20"/>
          <w:szCs w:val="20"/>
        </w:rPr>
      </w:pPr>
      <w:r>
        <w:rPr>
          <w:b/>
          <w:bCs/>
          <w:color w:val="131314"/>
          <w:sz w:val="20"/>
          <w:szCs w:val="20"/>
        </w:rPr>
        <w:t xml:space="preserve">Published: </w:t>
      </w:r>
      <w:r w:rsidR="00CA6C87">
        <w:rPr>
          <w:color w:val="131314"/>
          <w:sz w:val="20"/>
          <w:szCs w:val="20"/>
        </w:rPr>
        <w:t>19</w:t>
      </w:r>
      <w:r w:rsidR="009A1FC0">
        <w:rPr>
          <w:color w:val="131314"/>
          <w:sz w:val="20"/>
          <w:szCs w:val="20"/>
        </w:rPr>
        <w:t xml:space="preserve"> </w:t>
      </w:r>
      <w:r w:rsidR="00BE1B78">
        <w:rPr>
          <w:color w:val="131314"/>
          <w:sz w:val="20"/>
          <w:szCs w:val="20"/>
        </w:rPr>
        <w:t xml:space="preserve">May </w:t>
      </w:r>
      <w:r w:rsidRPr="00076BBB">
        <w:rPr>
          <w:color w:val="131314"/>
          <w:sz w:val="20"/>
          <w:szCs w:val="20"/>
        </w:rPr>
        <w:t>202</w:t>
      </w:r>
      <w:r w:rsidR="00D46EDE">
        <w:rPr>
          <w:color w:val="131314"/>
          <w:sz w:val="20"/>
          <w:szCs w:val="20"/>
        </w:rPr>
        <w:t>6</w:t>
      </w:r>
    </w:p>
    <w:p w14:paraId="494BC479" w14:textId="1FD30483" w:rsidR="00CC11F1" w:rsidRPr="00CA6C87" w:rsidRDefault="00076BBB" w:rsidP="002135AA">
      <w:pPr>
        <w:rPr>
          <w:color w:val="131314"/>
          <w:sz w:val="20"/>
          <w:szCs w:val="20"/>
        </w:rPr>
      </w:pPr>
      <w:r w:rsidRPr="00076BBB">
        <w:rPr>
          <w:b/>
          <w:bCs/>
          <w:color w:val="131314"/>
          <w:sz w:val="20"/>
          <w:szCs w:val="20"/>
        </w:rPr>
        <w:t xml:space="preserve">Authors: </w:t>
      </w:r>
      <w:r w:rsidR="002135AA">
        <w:rPr>
          <w:color w:val="131314"/>
          <w:sz w:val="20"/>
          <w:szCs w:val="20"/>
        </w:rPr>
        <w:t>Maxwell Spurrell, John S. Tsang, Kevan C. Herold</w:t>
      </w:r>
    </w:p>
    <w:p w14:paraId="0AC1EABF" w14:textId="77777777" w:rsidR="00CA6C87" w:rsidRDefault="00076BBB" w:rsidP="00CA6C87">
      <w:pPr>
        <w:rPr>
          <w:b/>
          <w:bCs/>
          <w:color w:val="131314"/>
          <w:sz w:val="20"/>
          <w:szCs w:val="20"/>
        </w:rPr>
      </w:pPr>
      <w:r>
        <w:rPr>
          <w:b/>
          <w:bCs/>
          <w:color w:val="131314"/>
          <w:sz w:val="20"/>
          <w:szCs w:val="20"/>
        </w:rPr>
        <w:t>Summary:</w:t>
      </w:r>
    </w:p>
    <w:p w14:paraId="20D2D017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Analysis of single-cell RNA sequencing (</w:t>
      </w:r>
      <w:proofErr w:type="spellStart"/>
      <w:r w:rsidRPr="002135AA">
        <w:rPr>
          <w:color w:val="000000"/>
          <w:sz w:val="20"/>
          <w:szCs w:val="20"/>
        </w:rPr>
        <w:t>scRNAseq</w:t>
      </w:r>
      <w:proofErr w:type="spellEnd"/>
      <w:r w:rsidRPr="002135AA">
        <w:rPr>
          <w:color w:val="000000"/>
          <w:sz w:val="20"/>
          <w:szCs w:val="20"/>
        </w:rPr>
        <w:t>) data from the Human Pancreas Analysis Program (HPAP) has identified a novel, resilient subpopulation of pancreatic beta cells, designated as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Cluster 3 (C3)</w:t>
      </w:r>
      <w:r w:rsidRPr="002135AA">
        <w:rPr>
          <w:color w:val="000000"/>
          <w:sz w:val="20"/>
          <w:szCs w:val="20"/>
        </w:rPr>
        <w:t>, that is significantly enriched in donors with Type 1 Diabetes (T1D). While the majority of beta cells are destroyed by autoimmune processes in T1D, this specific subpopulation persists for years or even decades after disease onset.</w:t>
      </w:r>
    </w:p>
    <w:p w14:paraId="5285C8F0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Critical Takeaways:</w:t>
      </w:r>
    </w:p>
    <w:p w14:paraId="717A7D12" w14:textId="77777777" w:rsidR="002135AA" w:rsidRPr="002135AA" w:rsidRDefault="002135AA" w:rsidP="002135AA">
      <w:pPr>
        <w:numPr>
          <w:ilvl w:val="0"/>
          <w:numId w:val="73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Identification of Cluster 3 (C3):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A distinct beta cell subtype defined by a specific gene regulatory network, found at significantly higher frequencies in T1D donors (median 0.153) compared to non-diabetic (ND) and autoantibody-positive (</w:t>
      </w:r>
      <w:proofErr w:type="spellStart"/>
      <w:r w:rsidRPr="002135AA">
        <w:rPr>
          <w:color w:val="000000"/>
          <w:sz w:val="20"/>
          <w:szCs w:val="20"/>
        </w:rPr>
        <w:t>AAb</w:t>
      </w:r>
      <w:proofErr w:type="spellEnd"/>
      <w:r w:rsidRPr="002135AA">
        <w:rPr>
          <w:color w:val="000000"/>
          <w:sz w:val="20"/>
          <w:szCs w:val="20"/>
        </w:rPr>
        <w:t>+) donors.</w:t>
      </w:r>
    </w:p>
    <w:p w14:paraId="031D0C3C" w14:textId="77777777" w:rsidR="002135AA" w:rsidRPr="002135AA" w:rsidRDefault="002135AA" w:rsidP="002135AA">
      <w:pPr>
        <w:numPr>
          <w:ilvl w:val="0"/>
          <w:numId w:val="73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Pro-Survival Regulatory Program: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C3 cells are characterized by the activity of transcription factors associated with cell survival and immune modulation, most notably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IRF1</w:t>
      </w:r>
      <w:r w:rsidRPr="002135AA">
        <w:rPr>
          <w:color w:val="000000"/>
          <w:sz w:val="20"/>
          <w:szCs w:val="20"/>
        </w:rPr>
        <w:t>, along with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BCL6, ETV6, CEBPD, ETS2, and JUNB</w:t>
      </w:r>
      <w:r w:rsidRPr="002135AA">
        <w:rPr>
          <w:color w:val="000000"/>
          <w:sz w:val="20"/>
          <w:szCs w:val="20"/>
        </w:rPr>
        <w:t>.</w:t>
      </w:r>
    </w:p>
    <w:p w14:paraId="0C6B1478" w14:textId="77777777" w:rsidR="002135AA" w:rsidRPr="002135AA" w:rsidRDefault="002135AA" w:rsidP="002135AA">
      <w:pPr>
        <w:numPr>
          <w:ilvl w:val="0"/>
          <w:numId w:val="73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Partial Dedifferentiation: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These resilient cells exhibit a unique transcriptional profile marked by the upregulation of immunomodulatory genes (e.g.,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SOCS1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SOCS3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HLA-E</w:t>
      </w:r>
      <w:r w:rsidRPr="002135AA">
        <w:rPr>
          <w:color w:val="000000"/>
          <w:sz w:val="20"/>
          <w:szCs w:val="20"/>
        </w:rPr>
        <w:t>) and the downregulation of insulin secretory genes and autoantigens (e.g.,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SLC30A8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IAPP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G6PC2</w:t>
      </w:r>
      <w:r w:rsidRPr="002135AA">
        <w:rPr>
          <w:color w:val="000000"/>
          <w:sz w:val="20"/>
          <w:szCs w:val="20"/>
        </w:rPr>
        <w:t>).</w:t>
      </w:r>
    </w:p>
    <w:p w14:paraId="02FCFBB1" w14:textId="77777777" w:rsidR="002135AA" w:rsidRPr="002135AA" w:rsidRDefault="002135AA" w:rsidP="002135AA">
      <w:pPr>
        <w:numPr>
          <w:ilvl w:val="0"/>
          <w:numId w:val="73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Cytokine-Driven Phenotype: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Evidence suggests this phenotype is induced by extrinsic inflammatory cytokine signaling (IFNG, TNFA, and IL1B). A homologous population was identified in alpha cells, showing a strong positive correlation with C3 beta cell frequency.</w:t>
      </w:r>
    </w:p>
    <w:p w14:paraId="3E507355" w14:textId="77777777" w:rsidR="002135AA" w:rsidRPr="002135AA" w:rsidRDefault="002135AA" w:rsidP="002135AA">
      <w:pPr>
        <w:numPr>
          <w:ilvl w:val="0"/>
          <w:numId w:val="73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Therapeutic Implications: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The transcriptional program identified in these resilient cells offers potential targets for T1D prevention and the engineering of durable beta cells for replacement therapies.</w:t>
      </w:r>
    </w:p>
    <w:p w14:paraId="2F655DC0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--------------------------------------------------------------------------------</w:t>
      </w:r>
    </w:p>
    <w:p w14:paraId="5ECA587A" w14:textId="77777777" w:rsidR="002135AA" w:rsidRPr="002135AA" w:rsidRDefault="002135AA" w:rsidP="002135AA">
      <w:pPr>
        <w:pStyle w:val="Heading2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135AA">
        <w:rPr>
          <w:rFonts w:ascii="Times New Roman" w:hAnsi="Times New Roman" w:cs="Times New Roman"/>
          <w:color w:val="000000"/>
          <w:sz w:val="20"/>
          <w:szCs w:val="20"/>
        </w:rPr>
        <w:t>Methodology and Data Integration</w:t>
      </w:r>
    </w:p>
    <w:p w14:paraId="13B13656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 xml:space="preserve">The study utilized the HPAP dataset, the most extensive T1D </w:t>
      </w:r>
      <w:proofErr w:type="spellStart"/>
      <w:r w:rsidRPr="002135AA">
        <w:rPr>
          <w:color w:val="000000"/>
          <w:sz w:val="20"/>
          <w:szCs w:val="20"/>
        </w:rPr>
        <w:t>scRNAseq</w:t>
      </w:r>
      <w:proofErr w:type="spellEnd"/>
      <w:r w:rsidRPr="002135AA">
        <w:rPr>
          <w:color w:val="000000"/>
          <w:sz w:val="20"/>
          <w:szCs w:val="20"/>
        </w:rPr>
        <w:t xml:space="preserve"> resource currently available, comprising samples from:</w:t>
      </w:r>
    </w:p>
    <w:p w14:paraId="107E37F1" w14:textId="77777777" w:rsidR="002135AA" w:rsidRPr="002135AA" w:rsidRDefault="002135AA" w:rsidP="002135AA">
      <w:pPr>
        <w:numPr>
          <w:ilvl w:val="0"/>
          <w:numId w:val="74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T1D Donors: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n = 12</w:t>
      </w:r>
    </w:p>
    <w:p w14:paraId="5534E2F4" w14:textId="77777777" w:rsidR="002135AA" w:rsidRPr="002135AA" w:rsidRDefault="002135AA" w:rsidP="002135AA">
      <w:pPr>
        <w:numPr>
          <w:ilvl w:val="0"/>
          <w:numId w:val="74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Autoantibody Positive (</w:t>
      </w:r>
      <w:proofErr w:type="spellStart"/>
      <w:r w:rsidRPr="002135AA">
        <w:rPr>
          <w:b/>
          <w:bCs/>
          <w:color w:val="000000"/>
          <w:sz w:val="20"/>
          <w:szCs w:val="20"/>
        </w:rPr>
        <w:t>AAb</w:t>
      </w:r>
      <w:proofErr w:type="spellEnd"/>
      <w:r w:rsidRPr="002135AA">
        <w:rPr>
          <w:b/>
          <w:bCs/>
          <w:color w:val="000000"/>
          <w:sz w:val="20"/>
          <w:szCs w:val="20"/>
        </w:rPr>
        <w:t>+) Donors: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n = 11</w:t>
      </w:r>
    </w:p>
    <w:p w14:paraId="68F392A4" w14:textId="77777777" w:rsidR="002135AA" w:rsidRPr="002135AA" w:rsidRDefault="002135AA" w:rsidP="002135AA">
      <w:pPr>
        <w:numPr>
          <w:ilvl w:val="0"/>
          <w:numId w:val="74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Non-Diabetic (ND) Controls: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n = 33</w:t>
      </w:r>
    </w:p>
    <w:p w14:paraId="634D7BE9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Gene Regulatory Network (GRN) Inference</w:t>
      </w:r>
    </w:p>
    <w:p w14:paraId="2E978DC9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To overcome technical artifacts (such as differences in 10X Chromium assay versions), researchers employed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proofErr w:type="gramStart"/>
      <w:r w:rsidRPr="002135AA">
        <w:rPr>
          <w:b/>
          <w:bCs/>
          <w:color w:val="000000"/>
          <w:sz w:val="20"/>
          <w:szCs w:val="20"/>
        </w:rPr>
        <w:t>SCENIC</w:t>
      </w:r>
      <w:r w:rsidRPr="002135AA">
        <w:rPr>
          <w:color w:val="000000"/>
          <w:sz w:val="20"/>
          <w:szCs w:val="20"/>
        </w:rPr>
        <w:t>(</w:t>
      </w:r>
      <w:proofErr w:type="gramEnd"/>
      <w:r w:rsidRPr="002135AA">
        <w:rPr>
          <w:color w:val="000000"/>
          <w:sz w:val="20"/>
          <w:szCs w:val="20"/>
        </w:rPr>
        <w:t>Single-Cell Regulatory Network Inference and Clustering) and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proofErr w:type="spellStart"/>
      <w:r w:rsidRPr="002135AA">
        <w:rPr>
          <w:b/>
          <w:bCs/>
          <w:color w:val="000000"/>
          <w:sz w:val="20"/>
          <w:szCs w:val="20"/>
        </w:rPr>
        <w:t>RegDiffusion</w:t>
      </w:r>
      <w:proofErr w:type="spellEnd"/>
      <w:r w:rsidRPr="002135AA">
        <w:rPr>
          <w:color w:val="000000"/>
          <w:sz w:val="20"/>
          <w:szCs w:val="20"/>
        </w:rPr>
        <w:t>. This approach identifies "regulons"—sets of genes co-regulated by specific transcription factors—providing a more robust biological signal than standard transcriptomic clustering.</w:t>
      </w:r>
    </w:p>
    <w:p w14:paraId="07272054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--------------------------------------------------------------------------------</w:t>
      </w:r>
    </w:p>
    <w:p w14:paraId="030FF4DC" w14:textId="77777777" w:rsidR="002135AA" w:rsidRPr="002135AA" w:rsidRDefault="002135AA" w:rsidP="002135AA">
      <w:pPr>
        <w:pStyle w:val="Heading2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135AA">
        <w:rPr>
          <w:rFonts w:ascii="Times New Roman" w:hAnsi="Times New Roman" w:cs="Times New Roman"/>
          <w:color w:val="000000"/>
          <w:sz w:val="20"/>
          <w:szCs w:val="20"/>
        </w:rPr>
        <w:t>Characterizing the Cluster 3 (C3) Phenotype</w:t>
      </w:r>
    </w:p>
    <w:p w14:paraId="16315432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 xml:space="preserve">The analysis identified Cluster 3 as a unique subpopulation enriched in T1D donors. Interestingly, two </w:t>
      </w:r>
      <w:proofErr w:type="spellStart"/>
      <w:r w:rsidRPr="002135AA">
        <w:rPr>
          <w:color w:val="000000"/>
          <w:sz w:val="20"/>
          <w:szCs w:val="20"/>
        </w:rPr>
        <w:t>AAb</w:t>
      </w:r>
      <w:proofErr w:type="spellEnd"/>
      <w:r w:rsidRPr="002135AA">
        <w:rPr>
          <w:color w:val="000000"/>
          <w:sz w:val="20"/>
          <w:szCs w:val="20"/>
        </w:rPr>
        <w:t>+ donors with high C3 frequencies (HPAP-092 and HPAP-107) were independently predicted to be those most likely to progress to clinical T1D.</w:t>
      </w:r>
    </w:p>
    <w:p w14:paraId="7D77C573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Regulatory and Transcriptional Profile</w:t>
      </w:r>
    </w:p>
    <w:p w14:paraId="76DEC1F6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C3 cells are defined by a shift from mature beta cell identity toward a resilient, immunomodulatory state.</w:t>
      </w:r>
    </w:p>
    <w:tbl>
      <w:tblPr>
        <w:tblW w:w="95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2880"/>
        <w:gridCol w:w="4752"/>
      </w:tblGrid>
      <w:tr w:rsidR="002135AA" w:rsidRPr="002135AA" w14:paraId="157D6344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3FDDD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Feature Category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EFF19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Key Transcription Factors / Genes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D2692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Biological Impact</w:t>
            </w:r>
          </w:p>
        </w:tc>
      </w:tr>
      <w:tr w:rsidR="002135AA" w:rsidRPr="002135AA" w14:paraId="531D4227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5F256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b/>
                <w:bCs/>
                <w:color w:val="000000"/>
                <w:sz w:val="20"/>
                <w:szCs w:val="20"/>
              </w:rPr>
              <w:t>Increased TF Activity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E7D6C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IRF1, BCL6, ETV6, CEBPD, ETS2, JUNB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E6A35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Promotion of cell survival; modulation of immune responsiveness.</w:t>
            </w:r>
          </w:p>
        </w:tc>
      </w:tr>
      <w:tr w:rsidR="002135AA" w:rsidRPr="002135AA" w14:paraId="6C8A136A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FB646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b/>
                <w:bCs/>
                <w:color w:val="000000"/>
                <w:sz w:val="20"/>
                <w:szCs w:val="20"/>
              </w:rPr>
              <w:t>Decreased TF Activity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068AE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MAFA, MAFB, NKX6-1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CBF78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Partial loss of mature beta cell identity (dedifferentiation).</w:t>
            </w:r>
          </w:p>
        </w:tc>
      </w:tr>
      <w:tr w:rsidR="002135AA" w:rsidRPr="002135AA" w14:paraId="3CE17209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CBE3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b/>
                <w:bCs/>
                <w:color w:val="000000"/>
                <w:sz w:val="20"/>
                <w:szCs w:val="20"/>
              </w:rPr>
              <w:t>Immunomodulation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5790B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i/>
                <w:iCs/>
                <w:color w:val="000000"/>
                <w:sz w:val="20"/>
                <w:szCs w:val="20"/>
              </w:rPr>
              <w:t>SOCS1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SOCS3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HLA-E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CD274</w:t>
            </w:r>
            <w:r w:rsidRPr="002135AA">
              <w:rPr>
                <w:color w:val="000000"/>
                <w:sz w:val="20"/>
                <w:szCs w:val="20"/>
              </w:rPr>
              <w:t>(PDL1),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ICAM1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499A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Suppression of cytokine signaling; protection against immune killing.</w:t>
            </w:r>
          </w:p>
        </w:tc>
      </w:tr>
      <w:tr w:rsidR="002135AA" w:rsidRPr="002135AA" w14:paraId="5CE97A1B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09BFC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b/>
                <w:bCs/>
                <w:color w:val="000000"/>
                <w:sz w:val="20"/>
                <w:szCs w:val="20"/>
              </w:rPr>
              <w:lastRenderedPageBreak/>
              <w:t>Reduced Autoantigens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CEEC8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i/>
                <w:iCs/>
                <w:color w:val="000000"/>
                <w:sz w:val="20"/>
                <w:szCs w:val="20"/>
              </w:rPr>
              <w:t>IAPP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G6PC2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SLC30A8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PTPRN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15F80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Reduced visibility to autoreactive T cells.</w:t>
            </w:r>
          </w:p>
        </w:tc>
      </w:tr>
      <w:tr w:rsidR="002135AA" w:rsidRPr="002135AA" w14:paraId="3BED92DB" w14:textId="77777777" w:rsidTr="002135AA"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E3807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b/>
                <w:bCs/>
                <w:color w:val="000000"/>
                <w:sz w:val="20"/>
                <w:szCs w:val="20"/>
              </w:rPr>
              <w:t>Reduced Secretory Genes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80C54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i/>
                <w:iCs/>
                <w:color w:val="000000"/>
                <w:sz w:val="20"/>
                <w:szCs w:val="20"/>
              </w:rPr>
              <w:t>SCGN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CASR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PAM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PCSK1</w:t>
            </w:r>
            <w:r w:rsidRPr="002135AA">
              <w:rPr>
                <w:color w:val="000000"/>
                <w:sz w:val="20"/>
                <w:szCs w:val="20"/>
              </w:rPr>
              <w:t>,</w:t>
            </w:r>
            <w:r w:rsidRPr="002135AA">
              <w:rPr>
                <w:rStyle w:val="apple-converted-space"/>
                <w:rFonts w:eastAsiaTheme="majorEastAsia"/>
                <w:color w:val="000000"/>
                <w:sz w:val="20"/>
                <w:szCs w:val="20"/>
              </w:rPr>
              <w:t> </w:t>
            </w:r>
            <w:r w:rsidRPr="002135AA">
              <w:rPr>
                <w:i/>
                <w:iCs/>
                <w:color w:val="000000"/>
                <w:sz w:val="20"/>
                <w:szCs w:val="20"/>
              </w:rPr>
              <w:t>CPE</w:t>
            </w:r>
          </w:p>
        </w:tc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DDDAB" w14:textId="77777777" w:rsidR="002135AA" w:rsidRPr="002135AA" w:rsidRDefault="002135AA" w:rsidP="002135AA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135AA">
              <w:rPr>
                <w:color w:val="000000"/>
                <w:sz w:val="20"/>
                <w:szCs w:val="20"/>
              </w:rPr>
              <w:t>Impairment of insulin processing and exocytosis.</w:t>
            </w:r>
          </w:p>
        </w:tc>
      </w:tr>
    </w:tbl>
    <w:p w14:paraId="2427BC11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The Role of HLA Genes</w:t>
      </w:r>
    </w:p>
    <w:p w14:paraId="2366B038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While T1D beta cells generally show hyperexpression of Class I MHC (HLA-A, -B, -C), C3 cells specifically enrich for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HLA-E</w:t>
      </w:r>
      <w:r w:rsidRPr="002135AA">
        <w:rPr>
          <w:color w:val="000000"/>
          <w:sz w:val="20"/>
          <w:szCs w:val="20"/>
        </w:rPr>
        <w:t>. Unlike the general Class I increase, HLA-E enrichment is a defining feature of the C3 cluster, potentially contributing to its immune-evasive properties.</w:t>
      </w:r>
    </w:p>
    <w:p w14:paraId="3583183B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--------------------------------------------------------------------------------</w:t>
      </w:r>
    </w:p>
    <w:p w14:paraId="014558A5" w14:textId="77777777" w:rsidR="002135AA" w:rsidRPr="002135AA" w:rsidRDefault="002135AA" w:rsidP="002135AA">
      <w:pPr>
        <w:pStyle w:val="Heading2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135AA">
        <w:rPr>
          <w:rFonts w:ascii="Times New Roman" w:hAnsi="Times New Roman" w:cs="Times New Roman"/>
          <w:color w:val="000000"/>
          <w:sz w:val="20"/>
          <w:szCs w:val="20"/>
        </w:rPr>
        <w:t>Mechanisms of Induction: Inflammatory Cytokines</w:t>
      </w:r>
    </w:p>
    <w:p w14:paraId="5C6650CF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Reanalysis of independent datasets (Maestas et al.) confirmed that the C3 phenotype is reproducible through in vitro stimulation of primary human islets with a cytokine mix (CM) containing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IFNG, TNFA, and IL1B</w:t>
      </w:r>
      <w:r w:rsidRPr="002135AA">
        <w:rPr>
          <w:color w:val="000000"/>
          <w:sz w:val="20"/>
          <w:szCs w:val="20"/>
        </w:rPr>
        <w:t>.</w:t>
      </w:r>
    </w:p>
    <w:p w14:paraId="5C370F1B" w14:textId="77777777" w:rsidR="002135AA" w:rsidRPr="002135AA" w:rsidRDefault="002135AA" w:rsidP="002135AA">
      <w:pPr>
        <w:numPr>
          <w:ilvl w:val="0"/>
          <w:numId w:val="75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Bidirectional Response: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Cytokine stimulation caused both the upregulation of C3-enriched genes and the downregulation of C3-depleted genes.</w:t>
      </w:r>
    </w:p>
    <w:p w14:paraId="474B786B" w14:textId="77777777" w:rsidR="002135AA" w:rsidRPr="002135AA" w:rsidRDefault="002135AA" w:rsidP="002135AA">
      <w:pPr>
        <w:numPr>
          <w:ilvl w:val="0"/>
          <w:numId w:val="75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Chromatin Accessibility: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 xml:space="preserve">Single-nucleus </w:t>
      </w:r>
      <w:proofErr w:type="spellStart"/>
      <w:r w:rsidRPr="002135AA">
        <w:rPr>
          <w:color w:val="000000"/>
          <w:sz w:val="20"/>
          <w:szCs w:val="20"/>
        </w:rPr>
        <w:t>multiome</w:t>
      </w:r>
      <w:proofErr w:type="spellEnd"/>
      <w:r w:rsidRPr="002135AA">
        <w:rPr>
          <w:color w:val="000000"/>
          <w:sz w:val="20"/>
          <w:szCs w:val="20"/>
        </w:rPr>
        <w:t xml:space="preserve"> profiling (RNA + ATAC) demonstrated that cytokine treatment increases the accessibility of chromatin motifs for C3-defining transcription factors, particularly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IRF1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and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b/>
          <w:bCs/>
          <w:color w:val="000000"/>
          <w:sz w:val="20"/>
          <w:szCs w:val="20"/>
        </w:rPr>
        <w:t>JUNB</w:t>
      </w:r>
      <w:r w:rsidRPr="002135AA">
        <w:rPr>
          <w:color w:val="000000"/>
          <w:sz w:val="20"/>
          <w:szCs w:val="20"/>
        </w:rPr>
        <w:t>.</w:t>
      </w:r>
    </w:p>
    <w:p w14:paraId="35577325" w14:textId="77777777" w:rsidR="002135AA" w:rsidRPr="002135AA" w:rsidRDefault="002135AA" w:rsidP="002135AA">
      <w:pPr>
        <w:numPr>
          <w:ilvl w:val="0"/>
          <w:numId w:val="75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Stress Specificity: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 xml:space="preserve">While ER stressors (e.g., </w:t>
      </w:r>
      <w:proofErr w:type="spellStart"/>
      <w:r w:rsidRPr="002135AA">
        <w:rPr>
          <w:color w:val="000000"/>
          <w:sz w:val="20"/>
          <w:szCs w:val="20"/>
        </w:rPr>
        <w:t>Thapsigargin</w:t>
      </w:r>
      <w:proofErr w:type="spellEnd"/>
      <w:r w:rsidRPr="002135AA">
        <w:rPr>
          <w:color w:val="000000"/>
          <w:sz w:val="20"/>
          <w:szCs w:val="20"/>
        </w:rPr>
        <w:t>) induced some C3-like changes, only the cytokine mix produced the comprehensive bidirectional transcriptional shift observed in the T1D surviving cells.</w:t>
      </w:r>
    </w:p>
    <w:p w14:paraId="76E916D9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--------------------------------------------------------------------------------</w:t>
      </w:r>
    </w:p>
    <w:p w14:paraId="671E7CD0" w14:textId="77777777" w:rsidR="002135AA" w:rsidRPr="002135AA" w:rsidRDefault="002135AA" w:rsidP="002135AA">
      <w:pPr>
        <w:pStyle w:val="Heading2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135AA">
        <w:rPr>
          <w:rFonts w:ascii="Times New Roman" w:hAnsi="Times New Roman" w:cs="Times New Roman"/>
          <w:color w:val="000000"/>
          <w:sz w:val="20"/>
          <w:szCs w:val="20"/>
        </w:rPr>
        <w:t>Cross-Cellular Homology: The Alpha Cell Response</w:t>
      </w:r>
    </w:p>
    <w:p w14:paraId="17A72CAE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The study identified a homologous subpopulation in alpha cells (C3 alpha cells) that mirrors the C3 beta cell phenotype.</w:t>
      </w:r>
    </w:p>
    <w:p w14:paraId="0369BF05" w14:textId="77777777" w:rsidR="002135AA" w:rsidRPr="002135AA" w:rsidRDefault="002135AA" w:rsidP="002135AA">
      <w:pPr>
        <w:numPr>
          <w:ilvl w:val="0"/>
          <w:numId w:val="76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Shared Regulatory Program: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C3 alpha cells exhibit increased activity of the same transcription factors (IRF1, BCL6, CEBPD, JUNB, ETV6) and similar transcriptional changes (increased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SOCS1/3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HLA-E</w:t>
      </w:r>
      <w:r w:rsidRPr="002135AA">
        <w:rPr>
          <w:color w:val="000000"/>
          <w:sz w:val="20"/>
          <w:szCs w:val="20"/>
        </w:rPr>
        <w:t>; decreased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SCGN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G6PC2</w:t>
      </w:r>
      <w:r w:rsidRPr="002135AA">
        <w:rPr>
          <w:color w:val="000000"/>
          <w:sz w:val="20"/>
          <w:szCs w:val="20"/>
        </w:rPr>
        <w:t>).</w:t>
      </w:r>
    </w:p>
    <w:p w14:paraId="0AD1D1F3" w14:textId="77777777" w:rsidR="002135AA" w:rsidRPr="002135AA" w:rsidRDefault="002135AA" w:rsidP="002135AA">
      <w:pPr>
        <w:numPr>
          <w:ilvl w:val="0"/>
          <w:numId w:val="76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Extrinsic Signaling Evidence: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There is a strong positive correlation (Spearman’s ρ = 0.65, p &lt; 0.001) between the frequency of C3 beta cells and C3 alpha cells within the same donor. This suggests that the phenotype is not cell-type specific but is a localized response to the extrinsic inflammatory environment (cytokine "neighborhoods") within the islet.</w:t>
      </w:r>
    </w:p>
    <w:p w14:paraId="2E70146C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--------------------------------------------------------------------------------</w:t>
      </w:r>
    </w:p>
    <w:p w14:paraId="1CCC2F1B" w14:textId="77777777" w:rsidR="002135AA" w:rsidRPr="002135AA" w:rsidRDefault="002135AA" w:rsidP="002135AA">
      <w:pPr>
        <w:pStyle w:val="Heading2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135AA">
        <w:rPr>
          <w:rFonts w:ascii="Times New Roman" w:hAnsi="Times New Roman" w:cs="Times New Roman"/>
          <w:color w:val="000000"/>
          <w:sz w:val="20"/>
          <w:szCs w:val="20"/>
        </w:rPr>
        <w:t>Discussion and Clinical Implications</w:t>
      </w:r>
    </w:p>
    <w:p w14:paraId="6037D74E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The discovery of Cluster 3 provides a framework for understanding how a subset of beta cells survives an ongoing autoimmune attack.</w:t>
      </w:r>
    </w:p>
    <w:p w14:paraId="594BA386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Mechanisms of Resilience</w:t>
      </w:r>
    </w:p>
    <w:p w14:paraId="45CD43DD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The survival of C3 cells appears to be driven by a dual strategy:</w:t>
      </w:r>
    </w:p>
    <w:p w14:paraId="6EB15C9C" w14:textId="77777777" w:rsidR="002135AA" w:rsidRPr="002135AA" w:rsidRDefault="002135AA" w:rsidP="002135AA">
      <w:pPr>
        <w:numPr>
          <w:ilvl w:val="0"/>
          <w:numId w:val="77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Immune Evasion: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Through the downregulation of key autoantigens and the expression of immunomodulatory factors like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SOCS1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and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HLA-E</w:t>
      </w:r>
      <w:r w:rsidRPr="002135AA">
        <w:rPr>
          <w:color w:val="000000"/>
          <w:sz w:val="20"/>
          <w:szCs w:val="20"/>
        </w:rPr>
        <w:t>, these cells may "conceal" themselves or resist T cell-mediated killing.</w:t>
      </w:r>
    </w:p>
    <w:p w14:paraId="253AB905" w14:textId="77777777" w:rsidR="002135AA" w:rsidRPr="002135AA" w:rsidRDefault="002135AA" w:rsidP="002135AA">
      <w:pPr>
        <w:numPr>
          <w:ilvl w:val="0"/>
          <w:numId w:val="77"/>
        </w:numPr>
        <w:rPr>
          <w:color w:val="000000"/>
          <w:sz w:val="20"/>
          <w:szCs w:val="20"/>
        </w:rPr>
      </w:pPr>
      <w:r w:rsidRPr="002135AA">
        <w:rPr>
          <w:b/>
          <w:bCs/>
          <w:color w:val="000000"/>
          <w:sz w:val="20"/>
          <w:szCs w:val="20"/>
        </w:rPr>
        <w:t>Partial Dedifferentiation: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color w:val="000000"/>
          <w:sz w:val="20"/>
          <w:szCs w:val="20"/>
        </w:rPr>
        <w:t>By reducing their secretory load and mature identity, the cells may become less susceptible to the metabolic and inflammatory stressors that destroy more active beta cells.</w:t>
      </w:r>
    </w:p>
    <w:p w14:paraId="58D8C151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Impact on Secretory Function</w:t>
      </w:r>
    </w:p>
    <w:p w14:paraId="0E7D2BBA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The reduction in insulin processing genes (</w:t>
      </w:r>
      <w:r w:rsidRPr="002135AA">
        <w:rPr>
          <w:i/>
          <w:iCs/>
          <w:color w:val="000000"/>
          <w:sz w:val="20"/>
          <w:szCs w:val="20"/>
        </w:rPr>
        <w:t>PCSK1</w:t>
      </w:r>
      <w:r w:rsidRPr="002135AA">
        <w:rPr>
          <w:color w:val="000000"/>
          <w:sz w:val="20"/>
          <w:szCs w:val="20"/>
        </w:rPr>
        <w:t>,</w:t>
      </w:r>
      <w:r w:rsidRPr="002135AA">
        <w:rPr>
          <w:rStyle w:val="apple-converted-space"/>
          <w:rFonts w:eastAsiaTheme="majorEastAsia"/>
          <w:color w:val="000000"/>
          <w:sz w:val="20"/>
          <w:szCs w:val="20"/>
        </w:rPr>
        <w:t> </w:t>
      </w:r>
      <w:r w:rsidRPr="002135AA">
        <w:rPr>
          <w:i/>
          <w:iCs/>
          <w:color w:val="000000"/>
          <w:sz w:val="20"/>
          <w:szCs w:val="20"/>
        </w:rPr>
        <w:t>CPE</w:t>
      </w:r>
      <w:r w:rsidRPr="002135AA">
        <w:rPr>
          <w:color w:val="000000"/>
          <w:sz w:val="20"/>
          <w:szCs w:val="20"/>
        </w:rPr>
        <w:t>) and secretory transcripts in C3 cells may explain the secretory defects observed in T1D patients, such as the elevated proinsulin-to-insulin ratio. The study suggests that surviving beta cells are functional but exist in a state of suppressed activity.</w:t>
      </w:r>
    </w:p>
    <w:p w14:paraId="7303363D" w14:textId="77777777" w:rsidR="002135AA" w:rsidRPr="002135AA" w:rsidRDefault="002135AA" w:rsidP="002135AA">
      <w:pPr>
        <w:pStyle w:val="Heading3"/>
        <w:spacing w:before="0" w:after="0"/>
        <w:rPr>
          <w:rFonts w:cs="Times New Roman"/>
          <w:color w:val="000000"/>
          <w:sz w:val="20"/>
          <w:szCs w:val="20"/>
        </w:rPr>
      </w:pPr>
      <w:r w:rsidRPr="002135AA">
        <w:rPr>
          <w:rFonts w:cs="Times New Roman"/>
          <w:color w:val="000000"/>
          <w:sz w:val="20"/>
          <w:szCs w:val="20"/>
        </w:rPr>
        <w:t>Therapeutic Targets</w:t>
      </w:r>
    </w:p>
    <w:p w14:paraId="5D44C0CA" w14:textId="77777777" w:rsidR="002135AA" w:rsidRPr="002135AA" w:rsidRDefault="002135AA" w:rsidP="002135AA">
      <w:pPr>
        <w:pStyle w:val="NormalWeb"/>
        <w:spacing w:before="0" w:beforeAutospacing="0" w:after="0" w:afterAutospacing="0"/>
        <w:rPr>
          <w:color w:val="000000"/>
          <w:sz w:val="20"/>
          <w:szCs w:val="20"/>
        </w:rPr>
      </w:pPr>
      <w:r w:rsidRPr="002135AA">
        <w:rPr>
          <w:color w:val="000000"/>
          <w:sz w:val="20"/>
          <w:szCs w:val="20"/>
        </w:rPr>
        <w:t>The identification of the IRF1-mediated pro-survival program highlights potential avenues for T1D therapy. Augmenting this natural resilience program could help protect existing beta cells in at-risk individuals or improve the longevity of transplanted beta cells by making them more resistant to the recurring autoimmune response.</w:t>
      </w:r>
    </w:p>
    <w:p w14:paraId="0658F3FB" w14:textId="77777777" w:rsidR="002135AA" w:rsidRPr="002135AA" w:rsidRDefault="002135AA" w:rsidP="002135AA">
      <w:pPr>
        <w:rPr>
          <w:b/>
          <w:bCs/>
          <w:color w:val="131314"/>
          <w:sz w:val="20"/>
          <w:szCs w:val="20"/>
        </w:rPr>
      </w:pPr>
    </w:p>
    <w:sectPr w:rsidR="002135AA" w:rsidRPr="00213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970"/>
    <w:multiLevelType w:val="hybridMultilevel"/>
    <w:tmpl w:val="78D02E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D1D25"/>
    <w:multiLevelType w:val="multilevel"/>
    <w:tmpl w:val="BA1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C0B31"/>
    <w:multiLevelType w:val="multilevel"/>
    <w:tmpl w:val="3036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93BED"/>
    <w:multiLevelType w:val="multilevel"/>
    <w:tmpl w:val="77BC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A03D3"/>
    <w:multiLevelType w:val="multilevel"/>
    <w:tmpl w:val="BDE6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85FB0"/>
    <w:multiLevelType w:val="multilevel"/>
    <w:tmpl w:val="36D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C45D5"/>
    <w:multiLevelType w:val="multilevel"/>
    <w:tmpl w:val="8D3E2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F782E"/>
    <w:multiLevelType w:val="hybridMultilevel"/>
    <w:tmpl w:val="8E7E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1587B"/>
    <w:multiLevelType w:val="multilevel"/>
    <w:tmpl w:val="4E8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26E9C"/>
    <w:multiLevelType w:val="multilevel"/>
    <w:tmpl w:val="62C6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7129C"/>
    <w:multiLevelType w:val="multilevel"/>
    <w:tmpl w:val="60A8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77FEE"/>
    <w:multiLevelType w:val="multilevel"/>
    <w:tmpl w:val="2A82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B80FDF"/>
    <w:multiLevelType w:val="multilevel"/>
    <w:tmpl w:val="08A2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63439"/>
    <w:multiLevelType w:val="multilevel"/>
    <w:tmpl w:val="5666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C63CEF"/>
    <w:multiLevelType w:val="multilevel"/>
    <w:tmpl w:val="AD14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8372DC"/>
    <w:multiLevelType w:val="multilevel"/>
    <w:tmpl w:val="7E38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0438C2"/>
    <w:multiLevelType w:val="multilevel"/>
    <w:tmpl w:val="6C5C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4A4DE1"/>
    <w:multiLevelType w:val="multilevel"/>
    <w:tmpl w:val="E83C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C46351"/>
    <w:multiLevelType w:val="multilevel"/>
    <w:tmpl w:val="BF52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097A3E"/>
    <w:multiLevelType w:val="multilevel"/>
    <w:tmpl w:val="CB2E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FC70A3"/>
    <w:multiLevelType w:val="multilevel"/>
    <w:tmpl w:val="94EC92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2362188B"/>
    <w:multiLevelType w:val="multilevel"/>
    <w:tmpl w:val="788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BF4E7D"/>
    <w:multiLevelType w:val="hybridMultilevel"/>
    <w:tmpl w:val="C48A615E"/>
    <w:lvl w:ilvl="0" w:tplc="04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3" w15:restartNumberingAfterBreak="0">
    <w:nsid w:val="2A164353"/>
    <w:multiLevelType w:val="multilevel"/>
    <w:tmpl w:val="EEAC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996759"/>
    <w:multiLevelType w:val="multilevel"/>
    <w:tmpl w:val="3F94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A52854"/>
    <w:multiLevelType w:val="hybridMultilevel"/>
    <w:tmpl w:val="B81CB9F6"/>
    <w:lvl w:ilvl="0" w:tplc="94748E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E07B84"/>
    <w:multiLevelType w:val="multilevel"/>
    <w:tmpl w:val="967A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636D1"/>
    <w:multiLevelType w:val="multilevel"/>
    <w:tmpl w:val="3736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AA06F4"/>
    <w:multiLevelType w:val="multilevel"/>
    <w:tmpl w:val="C5CC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DA71EF"/>
    <w:multiLevelType w:val="multilevel"/>
    <w:tmpl w:val="5D38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831DA5"/>
    <w:multiLevelType w:val="multilevel"/>
    <w:tmpl w:val="F9A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633F61"/>
    <w:multiLevelType w:val="multilevel"/>
    <w:tmpl w:val="7E30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E1EF3"/>
    <w:multiLevelType w:val="multilevel"/>
    <w:tmpl w:val="162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A04F7E"/>
    <w:multiLevelType w:val="multilevel"/>
    <w:tmpl w:val="C41E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5441BC"/>
    <w:multiLevelType w:val="hybridMultilevel"/>
    <w:tmpl w:val="A038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F24C0A"/>
    <w:multiLevelType w:val="multilevel"/>
    <w:tmpl w:val="C74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40708F"/>
    <w:multiLevelType w:val="multilevel"/>
    <w:tmpl w:val="D2A6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CC022F"/>
    <w:multiLevelType w:val="multilevel"/>
    <w:tmpl w:val="0C22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A86612"/>
    <w:multiLevelType w:val="hybridMultilevel"/>
    <w:tmpl w:val="3F06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AA29B1"/>
    <w:multiLevelType w:val="multilevel"/>
    <w:tmpl w:val="3E5E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D751B9"/>
    <w:multiLevelType w:val="multilevel"/>
    <w:tmpl w:val="D082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CCB48AD"/>
    <w:multiLevelType w:val="multilevel"/>
    <w:tmpl w:val="CBDA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50187A"/>
    <w:multiLevelType w:val="multilevel"/>
    <w:tmpl w:val="714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1F2EFD"/>
    <w:multiLevelType w:val="hybridMultilevel"/>
    <w:tmpl w:val="899C8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C91B51"/>
    <w:multiLevelType w:val="multilevel"/>
    <w:tmpl w:val="387C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0627B42"/>
    <w:multiLevelType w:val="multilevel"/>
    <w:tmpl w:val="BCCE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6325DB"/>
    <w:multiLevelType w:val="multilevel"/>
    <w:tmpl w:val="16B8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09C3A5D"/>
    <w:multiLevelType w:val="multilevel"/>
    <w:tmpl w:val="6AFE0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8A6EB9"/>
    <w:multiLevelType w:val="multilevel"/>
    <w:tmpl w:val="231E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1639D2"/>
    <w:multiLevelType w:val="multilevel"/>
    <w:tmpl w:val="C00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5EF793C"/>
    <w:multiLevelType w:val="multilevel"/>
    <w:tmpl w:val="8BDC1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6A54B0A"/>
    <w:multiLevelType w:val="multilevel"/>
    <w:tmpl w:val="E99C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522F53"/>
    <w:multiLevelType w:val="multilevel"/>
    <w:tmpl w:val="8A1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DD21E68"/>
    <w:multiLevelType w:val="multilevel"/>
    <w:tmpl w:val="7D66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F102C06"/>
    <w:multiLevelType w:val="multilevel"/>
    <w:tmpl w:val="3104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03D6153"/>
    <w:multiLevelType w:val="hybridMultilevel"/>
    <w:tmpl w:val="F1504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6D76A9"/>
    <w:multiLevelType w:val="multilevel"/>
    <w:tmpl w:val="0D6E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38F2550"/>
    <w:multiLevelType w:val="hybridMultilevel"/>
    <w:tmpl w:val="7398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0B406E"/>
    <w:multiLevelType w:val="multilevel"/>
    <w:tmpl w:val="1A6C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BD70D2"/>
    <w:multiLevelType w:val="multilevel"/>
    <w:tmpl w:val="D56A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4F731C2"/>
    <w:multiLevelType w:val="multilevel"/>
    <w:tmpl w:val="2DC6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9467A72"/>
    <w:multiLevelType w:val="multilevel"/>
    <w:tmpl w:val="6B48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AD40AD5"/>
    <w:multiLevelType w:val="multilevel"/>
    <w:tmpl w:val="90CC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C473211"/>
    <w:multiLevelType w:val="multilevel"/>
    <w:tmpl w:val="E73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8E6251"/>
    <w:multiLevelType w:val="multilevel"/>
    <w:tmpl w:val="FAC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B8165E"/>
    <w:multiLevelType w:val="multilevel"/>
    <w:tmpl w:val="AD58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FF2FF6"/>
    <w:multiLevelType w:val="multilevel"/>
    <w:tmpl w:val="4A14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C200CE"/>
    <w:multiLevelType w:val="hybridMultilevel"/>
    <w:tmpl w:val="F488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DC6C9F"/>
    <w:multiLevelType w:val="multilevel"/>
    <w:tmpl w:val="A89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395933"/>
    <w:multiLevelType w:val="multilevel"/>
    <w:tmpl w:val="6EB6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194CAA"/>
    <w:multiLevelType w:val="multilevel"/>
    <w:tmpl w:val="D91C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519219E"/>
    <w:multiLevelType w:val="multilevel"/>
    <w:tmpl w:val="CDAE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6055D33"/>
    <w:multiLevelType w:val="multilevel"/>
    <w:tmpl w:val="824E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8AE102C"/>
    <w:multiLevelType w:val="multilevel"/>
    <w:tmpl w:val="3BC0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A2C47D4"/>
    <w:multiLevelType w:val="multilevel"/>
    <w:tmpl w:val="8D50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B0B3A73"/>
    <w:multiLevelType w:val="hybridMultilevel"/>
    <w:tmpl w:val="0740A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35649C"/>
    <w:multiLevelType w:val="multilevel"/>
    <w:tmpl w:val="FED8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254067">
    <w:abstractNumId w:val="38"/>
  </w:num>
  <w:num w:numId="2" w16cid:durableId="1990866663">
    <w:abstractNumId w:val="75"/>
  </w:num>
  <w:num w:numId="3" w16cid:durableId="1083834980">
    <w:abstractNumId w:val="67"/>
  </w:num>
  <w:num w:numId="4" w16cid:durableId="1104958541">
    <w:abstractNumId w:val="57"/>
  </w:num>
  <w:num w:numId="5" w16cid:durableId="1302538259">
    <w:abstractNumId w:val="22"/>
  </w:num>
  <w:num w:numId="6" w16cid:durableId="1689480912">
    <w:abstractNumId w:val="0"/>
  </w:num>
  <w:num w:numId="7" w16cid:durableId="1123619722">
    <w:abstractNumId w:val="34"/>
  </w:num>
  <w:num w:numId="8" w16cid:durableId="841704486">
    <w:abstractNumId w:val="55"/>
  </w:num>
  <w:num w:numId="9" w16cid:durableId="358552443">
    <w:abstractNumId w:val="7"/>
  </w:num>
  <w:num w:numId="10" w16cid:durableId="1909220594">
    <w:abstractNumId w:val="8"/>
  </w:num>
  <w:num w:numId="11" w16cid:durableId="1843932236">
    <w:abstractNumId w:val="56"/>
  </w:num>
  <w:num w:numId="12" w16cid:durableId="859390183">
    <w:abstractNumId w:val="4"/>
  </w:num>
  <w:num w:numId="13" w16cid:durableId="1802503735">
    <w:abstractNumId w:val="12"/>
  </w:num>
  <w:num w:numId="14" w16cid:durableId="877936301">
    <w:abstractNumId w:val="25"/>
  </w:num>
  <w:num w:numId="15" w16cid:durableId="1212310209">
    <w:abstractNumId w:val="43"/>
  </w:num>
  <w:num w:numId="16" w16cid:durableId="1164400272">
    <w:abstractNumId w:val="20"/>
  </w:num>
  <w:num w:numId="17" w16cid:durableId="974991403">
    <w:abstractNumId w:val="70"/>
  </w:num>
  <w:num w:numId="18" w16cid:durableId="784887784">
    <w:abstractNumId w:val="26"/>
  </w:num>
  <w:num w:numId="19" w16cid:durableId="1804888128">
    <w:abstractNumId w:val="62"/>
  </w:num>
  <w:num w:numId="20" w16cid:durableId="1220357442">
    <w:abstractNumId w:val="21"/>
  </w:num>
  <w:num w:numId="21" w16cid:durableId="1080254529">
    <w:abstractNumId w:val="64"/>
  </w:num>
  <w:num w:numId="22" w16cid:durableId="812452886">
    <w:abstractNumId w:val="61"/>
  </w:num>
  <w:num w:numId="23" w16cid:durableId="484127111">
    <w:abstractNumId w:val="63"/>
  </w:num>
  <w:num w:numId="24" w16cid:durableId="1234968398">
    <w:abstractNumId w:val="41"/>
  </w:num>
  <w:num w:numId="25" w16cid:durableId="1855194197">
    <w:abstractNumId w:val="11"/>
  </w:num>
  <w:num w:numId="26" w16cid:durableId="1657299415">
    <w:abstractNumId w:val="45"/>
  </w:num>
  <w:num w:numId="27" w16cid:durableId="1696886233">
    <w:abstractNumId w:val="37"/>
  </w:num>
  <w:num w:numId="28" w16cid:durableId="833492615">
    <w:abstractNumId w:val="65"/>
  </w:num>
  <w:num w:numId="29" w16cid:durableId="194849902">
    <w:abstractNumId w:val="54"/>
  </w:num>
  <w:num w:numId="30" w16cid:durableId="396978023">
    <w:abstractNumId w:val="36"/>
  </w:num>
  <w:num w:numId="31" w16cid:durableId="1568495420">
    <w:abstractNumId w:val="28"/>
  </w:num>
  <w:num w:numId="32" w16cid:durableId="1402948218">
    <w:abstractNumId w:val="60"/>
  </w:num>
  <w:num w:numId="33" w16cid:durableId="1378966778">
    <w:abstractNumId w:val="9"/>
  </w:num>
  <w:num w:numId="34" w16cid:durableId="1884439609">
    <w:abstractNumId w:val="33"/>
  </w:num>
  <w:num w:numId="35" w16cid:durableId="1714572322">
    <w:abstractNumId w:val="3"/>
  </w:num>
  <w:num w:numId="36" w16cid:durableId="1958833998">
    <w:abstractNumId w:val="66"/>
  </w:num>
  <w:num w:numId="37" w16cid:durableId="1479153968">
    <w:abstractNumId w:val="47"/>
  </w:num>
  <w:num w:numId="38" w16cid:durableId="411438706">
    <w:abstractNumId w:val="6"/>
  </w:num>
  <w:num w:numId="39" w16cid:durableId="238372950">
    <w:abstractNumId w:val="53"/>
  </w:num>
  <w:num w:numId="40" w16cid:durableId="993946927">
    <w:abstractNumId w:val="44"/>
  </w:num>
  <w:num w:numId="41" w16cid:durableId="995188166">
    <w:abstractNumId w:val="2"/>
  </w:num>
  <w:num w:numId="42" w16cid:durableId="2078547866">
    <w:abstractNumId w:val="40"/>
  </w:num>
  <w:num w:numId="43" w16cid:durableId="1547108732">
    <w:abstractNumId w:val="14"/>
  </w:num>
  <w:num w:numId="44" w16cid:durableId="423918487">
    <w:abstractNumId w:val="30"/>
  </w:num>
  <w:num w:numId="45" w16cid:durableId="1559246648">
    <w:abstractNumId w:val="17"/>
  </w:num>
  <w:num w:numId="46" w16cid:durableId="837689815">
    <w:abstractNumId w:val="31"/>
  </w:num>
  <w:num w:numId="47" w16cid:durableId="1072041975">
    <w:abstractNumId w:val="68"/>
  </w:num>
  <w:num w:numId="48" w16cid:durableId="2122337356">
    <w:abstractNumId w:val="16"/>
  </w:num>
  <w:num w:numId="49" w16cid:durableId="125392788">
    <w:abstractNumId w:val="51"/>
  </w:num>
  <w:num w:numId="50" w16cid:durableId="776949146">
    <w:abstractNumId w:val="76"/>
  </w:num>
  <w:num w:numId="51" w16cid:durableId="1263420352">
    <w:abstractNumId w:val="48"/>
  </w:num>
  <w:num w:numId="52" w16cid:durableId="1291133133">
    <w:abstractNumId w:val="58"/>
  </w:num>
  <w:num w:numId="53" w16cid:durableId="1097948013">
    <w:abstractNumId w:val="10"/>
  </w:num>
  <w:num w:numId="54" w16cid:durableId="1887372075">
    <w:abstractNumId w:val="32"/>
  </w:num>
  <w:num w:numId="55" w16cid:durableId="1433941743">
    <w:abstractNumId w:val="29"/>
  </w:num>
  <w:num w:numId="56" w16cid:durableId="2080664905">
    <w:abstractNumId w:val="27"/>
  </w:num>
  <w:num w:numId="57" w16cid:durableId="16542446">
    <w:abstractNumId w:val="72"/>
  </w:num>
  <w:num w:numId="58" w16cid:durableId="1577858047">
    <w:abstractNumId w:val="74"/>
  </w:num>
  <w:num w:numId="59" w16cid:durableId="471481042">
    <w:abstractNumId w:val="69"/>
  </w:num>
  <w:num w:numId="60" w16cid:durableId="1325862406">
    <w:abstractNumId w:val="39"/>
  </w:num>
  <w:num w:numId="61" w16cid:durableId="791826575">
    <w:abstractNumId w:val="23"/>
  </w:num>
  <w:num w:numId="62" w16cid:durableId="1829513565">
    <w:abstractNumId w:val="46"/>
  </w:num>
  <w:num w:numId="63" w16cid:durableId="123936042">
    <w:abstractNumId w:val="1"/>
  </w:num>
  <w:num w:numId="64" w16cid:durableId="921765036">
    <w:abstractNumId w:val="18"/>
  </w:num>
  <w:num w:numId="65" w16cid:durableId="1455439291">
    <w:abstractNumId w:val="19"/>
  </w:num>
  <w:num w:numId="66" w16cid:durableId="1891453731">
    <w:abstractNumId w:val="59"/>
  </w:num>
  <w:num w:numId="67" w16cid:durableId="1492790857">
    <w:abstractNumId w:val="42"/>
  </w:num>
  <w:num w:numId="68" w16cid:durableId="1585919785">
    <w:abstractNumId w:val="71"/>
  </w:num>
  <w:num w:numId="69" w16cid:durableId="500894610">
    <w:abstractNumId w:val="52"/>
  </w:num>
  <w:num w:numId="70" w16cid:durableId="907422407">
    <w:abstractNumId w:val="13"/>
  </w:num>
  <w:num w:numId="71" w16cid:durableId="208879825">
    <w:abstractNumId w:val="49"/>
  </w:num>
  <w:num w:numId="72" w16cid:durableId="951279645">
    <w:abstractNumId w:val="35"/>
  </w:num>
  <w:num w:numId="73" w16cid:durableId="698897890">
    <w:abstractNumId w:val="73"/>
  </w:num>
  <w:num w:numId="74" w16cid:durableId="1598833630">
    <w:abstractNumId w:val="15"/>
  </w:num>
  <w:num w:numId="75" w16cid:durableId="1416321720">
    <w:abstractNumId w:val="24"/>
  </w:num>
  <w:num w:numId="76" w16cid:durableId="1626349081">
    <w:abstractNumId w:val="5"/>
  </w:num>
  <w:num w:numId="77" w16cid:durableId="1564756262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ED"/>
    <w:rsid w:val="00076BBB"/>
    <w:rsid w:val="00170CAA"/>
    <w:rsid w:val="001D6C94"/>
    <w:rsid w:val="002135AA"/>
    <w:rsid w:val="003653C9"/>
    <w:rsid w:val="00465BB0"/>
    <w:rsid w:val="0046682A"/>
    <w:rsid w:val="00523900"/>
    <w:rsid w:val="0059732A"/>
    <w:rsid w:val="005C786F"/>
    <w:rsid w:val="005D7E19"/>
    <w:rsid w:val="00601183"/>
    <w:rsid w:val="00611189"/>
    <w:rsid w:val="00645F9B"/>
    <w:rsid w:val="00667B50"/>
    <w:rsid w:val="006C5590"/>
    <w:rsid w:val="00822424"/>
    <w:rsid w:val="00825680"/>
    <w:rsid w:val="008536ED"/>
    <w:rsid w:val="009A1FC0"/>
    <w:rsid w:val="00B03786"/>
    <w:rsid w:val="00BE1B78"/>
    <w:rsid w:val="00CA6C87"/>
    <w:rsid w:val="00CC11F1"/>
    <w:rsid w:val="00CF76F3"/>
    <w:rsid w:val="00D46EDE"/>
    <w:rsid w:val="00DA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F363"/>
  <w15:chartTrackingRefBased/>
  <w15:docId w15:val="{1A40A1A8-985A-E84C-A642-CD9D44EB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C8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6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6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6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6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3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6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6ED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C55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D46ED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D4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Westley PhD</dc:creator>
  <cp:keywords/>
  <dc:description/>
  <cp:lastModifiedBy>Teresa De Toni</cp:lastModifiedBy>
  <cp:revision>17</cp:revision>
  <dcterms:created xsi:type="dcterms:W3CDTF">2025-12-18T19:25:00Z</dcterms:created>
  <dcterms:modified xsi:type="dcterms:W3CDTF">2026-05-28T19:16:00Z</dcterms:modified>
</cp:coreProperties>
</file>