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19AF6" w14:textId="267837BF" w:rsidR="00822424" w:rsidRPr="00F12921" w:rsidRDefault="008536ED" w:rsidP="00F12921">
      <w:pPr>
        <w:shd w:val="clear" w:color="auto" w:fill="FFFFFF"/>
        <w:outlineLvl w:val="1"/>
        <w:rPr>
          <w:b/>
          <w:bCs/>
          <w:sz w:val="36"/>
          <w:szCs w:val="36"/>
        </w:rPr>
      </w:pPr>
      <w:r w:rsidRPr="00B82D2D">
        <w:rPr>
          <w:b/>
          <w:bCs/>
          <w:color w:val="131314"/>
          <w:sz w:val="28"/>
          <w:szCs w:val="28"/>
        </w:rPr>
        <w:t>SUMMARY (</w:t>
      </w:r>
      <w:r w:rsidR="00825680">
        <w:rPr>
          <w:b/>
          <w:bCs/>
          <w:color w:val="131314"/>
          <w:sz w:val="28"/>
          <w:szCs w:val="28"/>
        </w:rPr>
        <w:t>Clinical</w:t>
      </w:r>
      <w:r w:rsidRPr="00B82D2D">
        <w:rPr>
          <w:b/>
          <w:bCs/>
          <w:color w:val="131314"/>
          <w:sz w:val="28"/>
          <w:szCs w:val="28"/>
        </w:rPr>
        <w:t xml:space="preserve">) </w:t>
      </w:r>
      <w:r w:rsidR="00076BBB">
        <w:rPr>
          <w:b/>
          <w:bCs/>
          <w:color w:val="131314"/>
          <w:sz w:val="28"/>
          <w:szCs w:val="28"/>
        </w:rPr>
        <w:t>0</w:t>
      </w:r>
      <w:r w:rsidR="00F12921">
        <w:rPr>
          <w:b/>
          <w:bCs/>
          <w:color w:val="131314"/>
          <w:sz w:val="28"/>
          <w:szCs w:val="28"/>
        </w:rPr>
        <w:t>3</w:t>
      </w:r>
      <w:r w:rsidR="001D6C94">
        <w:rPr>
          <w:b/>
          <w:bCs/>
          <w:color w:val="131314"/>
          <w:sz w:val="28"/>
          <w:szCs w:val="28"/>
        </w:rPr>
        <w:t>/</w:t>
      </w:r>
      <w:r w:rsidR="00F12921">
        <w:rPr>
          <w:b/>
          <w:bCs/>
          <w:color w:val="131314"/>
          <w:sz w:val="28"/>
          <w:szCs w:val="28"/>
        </w:rPr>
        <w:t>06</w:t>
      </w:r>
      <w:r w:rsidRPr="00B82D2D">
        <w:rPr>
          <w:b/>
          <w:bCs/>
          <w:color w:val="131314"/>
          <w:sz w:val="28"/>
          <w:szCs w:val="28"/>
        </w:rPr>
        <w:t>/2</w:t>
      </w:r>
      <w:r w:rsidR="00076BBB">
        <w:rPr>
          <w:b/>
          <w:bCs/>
          <w:color w:val="131314"/>
          <w:sz w:val="28"/>
          <w:szCs w:val="28"/>
        </w:rPr>
        <w:t>6</w:t>
      </w:r>
      <w:r w:rsidR="006C5590">
        <w:rPr>
          <w:b/>
          <w:bCs/>
          <w:sz w:val="36"/>
          <w:szCs w:val="36"/>
        </w:rPr>
        <w:t xml:space="preserve"> </w:t>
      </w:r>
      <w:r w:rsidRPr="00B82D2D">
        <w:rPr>
          <w:b/>
          <w:bCs/>
          <w:color w:val="FF2F92"/>
          <w:sz w:val="28"/>
          <w:szCs w:val="28"/>
        </w:rPr>
        <w:t>ciT1zen science</w:t>
      </w:r>
    </w:p>
    <w:p w14:paraId="054E70BB" w14:textId="1BD0C859" w:rsidR="006C5590" w:rsidRPr="00216229" w:rsidRDefault="00F12921" w:rsidP="00216229">
      <w:pPr>
        <w:pStyle w:val="Heading1"/>
        <w:textAlignment w:val="baseline"/>
        <w:rPr>
          <w:rFonts w:ascii="Times New Roman" w:hAnsi="Times New Roman" w:cs="Times New Roman"/>
          <w:b/>
          <w:bCs/>
          <w:color w:val="383636"/>
          <w:sz w:val="20"/>
          <w:szCs w:val="20"/>
        </w:rPr>
      </w:pPr>
      <w:r w:rsidRPr="00F12921">
        <w:rPr>
          <w:b/>
          <w:bCs/>
          <w:color w:val="000000" w:themeColor="text1"/>
          <w:sz w:val="20"/>
          <w:szCs w:val="20"/>
        </w:rPr>
        <w:t>Epigenetic analyses suggest different pathways during pregnancy for development of T1D in children with high versus low-neutral HLA-risk</w:t>
      </w:r>
      <w:r w:rsidRPr="00F12921">
        <w:rPr>
          <w:b/>
          <w:bCs/>
          <w:color w:val="000000" w:themeColor="text1"/>
          <w:sz w:val="20"/>
          <w:szCs w:val="20"/>
        </w:rPr>
        <w:t xml:space="preserve"> </w:t>
      </w:r>
      <w:r w:rsidR="006C5590" w:rsidRPr="006C5590">
        <w:rPr>
          <w:b/>
          <w:bCs/>
          <w:color w:val="FF2F92"/>
          <w:sz w:val="20"/>
          <w:szCs w:val="20"/>
        </w:rPr>
        <w:t>ciT1zen science</w:t>
      </w:r>
      <w:r w:rsidR="006C5590">
        <w:rPr>
          <w:b/>
          <w:bCs/>
          <w:color w:val="FF2F92"/>
          <w:sz w:val="20"/>
          <w:szCs w:val="20"/>
        </w:rPr>
        <w:t xml:space="preserve"> summary</w:t>
      </w:r>
    </w:p>
    <w:p w14:paraId="0B7CBAF5" w14:textId="77777777" w:rsidR="00076BBB" w:rsidRDefault="00076BBB">
      <w:pPr>
        <w:rPr>
          <w:b/>
          <w:bCs/>
          <w:color w:val="FF2F92"/>
          <w:sz w:val="20"/>
          <w:szCs w:val="20"/>
        </w:rPr>
      </w:pPr>
    </w:p>
    <w:p w14:paraId="3017C2FD" w14:textId="52088952" w:rsidR="00076BBB" w:rsidRDefault="00076BBB">
      <w:pPr>
        <w:rPr>
          <w:color w:val="131314"/>
          <w:sz w:val="20"/>
          <w:szCs w:val="20"/>
        </w:rPr>
      </w:pPr>
      <w:r>
        <w:rPr>
          <w:b/>
          <w:bCs/>
          <w:color w:val="131314"/>
          <w:sz w:val="20"/>
          <w:szCs w:val="20"/>
        </w:rPr>
        <w:t xml:space="preserve">Source: </w:t>
      </w:r>
      <w:r>
        <w:rPr>
          <w:color w:val="131314"/>
          <w:sz w:val="20"/>
          <w:szCs w:val="20"/>
        </w:rPr>
        <w:t>Excerpts from “</w:t>
      </w:r>
      <w:r w:rsidR="00F12921" w:rsidRPr="00F12921">
        <w:rPr>
          <w:color w:val="131314"/>
          <w:sz w:val="20"/>
          <w:szCs w:val="20"/>
        </w:rPr>
        <w:t>Epigenetic analyses suggest different pathways during pregnancy for development of T1D in children with high versus low-neutral HLA-risk</w:t>
      </w:r>
      <w:r w:rsidR="00216229" w:rsidRPr="00216229">
        <w:rPr>
          <w:color w:val="131314"/>
          <w:sz w:val="20"/>
          <w:szCs w:val="20"/>
        </w:rPr>
        <w:t xml:space="preserve"> </w:t>
      </w:r>
      <w:r w:rsidR="00D46EDE">
        <w:rPr>
          <w:color w:val="131314"/>
          <w:sz w:val="20"/>
          <w:szCs w:val="20"/>
        </w:rPr>
        <w:t>|</w:t>
      </w:r>
      <w:r w:rsidR="00216229">
        <w:rPr>
          <w:color w:val="131314"/>
          <w:sz w:val="20"/>
          <w:szCs w:val="20"/>
        </w:rPr>
        <w:t xml:space="preserve"> </w:t>
      </w:r>
      <w:r w:rsidR="00F12921">
        <w:rPr>
          <w:color w:val="131314"/>
          <w:sz w:val="20"/>
          <w:szCs w:val="20"/>
        </w:rPr>
        <w:t>The Journal of Internal Medicine</w:t>
      </w:r>
      <w:r>
        <w:rPr>
          <w:color w:val="131314"/>
          <w:sz w:val="20"/>
          <w:szCs w:val="20"/>
        </w:rPr>
        <w:t>”</w:t>
      </w:r>
    </w:p>
    <w:p w14:paraId="3D29C32E" w14:textId="4C1268C5" w:rsidR="00076BBB" w:rsidRPr="00112D6D" w:rsidRDefault="00076BBB">
      <w:pPr>
        <w:rPr>
          <w:color w:val="131314"/>
          <w:sz w:val="20"/>
          <w:szCs w:val="20"/>
        </w:rPr>
      </w:pPr>
      <w:r>
        <w:rPr>
          <w:b/>
          <w:bCs/>
          <w:color w:val="131314"/>
          <w:sz w:val="20"/>
          <w:szCs w:val="20"/>
        </w:rPr>
        <w:t>Published:</w:t>
      </w:r>
      <w:r w:rsidR="00216229">
        <w:rPr>
          <w:b/>
          <w:bCs/>
          <w:color w:val="131314"/>
          <w:sz w:val="20"/>
          <w:szCs w:val="20"/>
        </w:rPr>
        <w:t xml:space="preserve"> </w:t>
      </w:r>
      <w:r w:rsidR="00112D6D">
        <w:rPr>
          <w:color w:val="131314"/>
          <w:sz w:val="20"/>
          <w:szCs w:val="20"/>
        </w:rPr>
        <w:t>2026</w:t>
      </w:r>
    </w:p>
    <w:p w14:paraId="35AB3A86" w14:textId="2CE79A2D" w:rsidR="00F12921" w:rsidRDefault="00076BBB" w:rsidP="00F12921">
      <w:pPr>
        <w:rPr>
          <w:color w:val="131314"/>
          <w:sz w:val="20"/>
          <w:szCs w:val="20"/>
        </w:rPr>
      </w:pPr>
      <w:r w:rsidRPr="00076BBB">
        <w:rPr>
          <w:b/>
          <w:bCs/>
          <w:color w:val="131314"/>
          <w:sz w:val="20"/>
          <w:szCs w:val="20"/>
        </w:rPr>
        <w:t xml:space="preserve">Authors: </w:t>
      </w:r>
      <w:proofErr w:type="spellStart"/>
      <w:r w:rsidR="00F12921" w:rsidRPr="00F12921">
        <w:rPr>
          <w:color w:val="131314"/>
          <w:sz w:val="20"/>
          <w:szCs w:val="20"/>
        </w:rPr>
        <w:t>Shamila</w:t>
      </w:r>
      <w:proofErr w:type="spellEnd"/>
      <w:r w:rsidR="00F12921" w:rsidRPr="00F12921">
        <w:rPr>
          <w:color w:val="131314"/>
          <w:sz w:val="20"/>
          <w:szCs w:val="20"/>
        </w:rPr>
        <w:t xml:space="preserve"> D. </w:t>
      </w:r>
      <w:proofErr w:type="spellStart"/>
      <w:r w:rsidR="00F12921" w:rsidRPr="00F12921">
        <w:rPr>
          <w:color w:val="131314"/>
          <w:sz w:val="20"/>
          <w:szCs w:val="20"/>
        </w:rPr>
        <w:t>Alipoor</w:t>
      </w:r>
      <w:proofErr w:type="spellEnd"/>
      <w:r w:rsidR="00F12921" w:rsidRPr="00F12921">
        <w:rPr>
          <w:color w:val="131314"/>
          <w:sz w:val="20"/>
          <w:szCs w:val="20"/>
        </w:rPr>
        <w:t xml:space="preserve">, Angelica Ahrens, Julia </w:t>
      </w:r>
      <w:proofErr w:type="spellStart"/>
      <w:r w:rsidR="00F12921" w:rsidRPr="00F12921">
        <w:rPr>
          <w:color w:val="131314"/>
          <w:sz w:val="20"/>
          <w:szCs w:val="20"/>
        </w:rPr>
        <w:t>Åkesso</w:t>
      </w:r>
      <w:proofErr w:type="spellEnd"/>
      <w:r w:rsidR="00F12921" w:rsidRPr="00F12921">
        <w:rPr>
          <w:color w:val="131314"/>
          <w:sz w:val="20"/>
          <w:szCs w:val="20"/>
        </w:rPr>
        <w:t xml:space="preserve">, Thomas </w:t>
      </w:r>
      <w:proofErr w:type="spellStart"/>
      <w:r w:rsidR="00F12921" w:rsidRPr="00F12921">
        <w:rPr>
          <w:color w:val="131314"/>
          <w:sz w:val="20"/>
          <w:szCs w:val="20"/>
        </w:rPr>
        <w:t>Hillerto</w:t>
      </w:r>
      <w:proofErr w:type="spellEnd"/>
      <w:r w:rsidR="00F12921" w:rsidRPr="00F12921">
        <w:rPr>
          <w:color w:val="131314"/>
          <w:sz w:val="20"/>
          <w:szCs w:val="20"/>
        </w:rPr>
        <w:t>,</w:t>
      </w:r>
      <w:r w:rsidR="00F12921">
        <w:rPr>
          <w:color w:val="131314"/>
          <w:sz w:val="20"/>
          <w:szCs w:val="20"/>
        </w:rPr>
        <w:t xml:space="preserve"> </w:t>
      </w:r>
      <w:r w:rsidR="00F12921" w:rsidRPr="00F12921">
        <w:rPr>
          <w:color w:val="131314"/>
          <w:sz w:val="20"/>
          <w:szCs w:val="20"/>
        </w:rPr>
        <w:t>Mika Gustafsson,</w:t>
      </w:r>
      <w:r w:rsidR="00F12921">
        <w:rPr>
          <w:color w:val="131314"/>
          <w:sz w:val="20"/>
          <w:szCs w:val="20"/>
        </w:rPr>
        <w:t xml:space="preserve"> </w:t>
      </w:r>
      <w:r w:rsidR="00F12921" w:rsidRPr="00F12921">
        <w:rPr>
          <w:color w:val="131314"/>
          <w:sz w:val="20"/>
          <w:szCs w:val="20"/>
        </w:rPr>
        <w:t xml:space="preserve">Maria </w:t>
      </w:r>
      <w:proofErr w:type="spellStart"/>
      <w:r w:rsidR="00F12921" w:rsidRPr="00F12921">
        <w:rPr>
          <w:color w:val="131314"/>
          <w:sz w:val="20"/>
          <w:szCs w:val="20"/>
        </w:rPr>
        <w:t>Lerm</w:t>
      </w:r>
      <w:proofErr w:type="spellEnd"/>
      <w:r w:rsidR="00F12921">
        <w:rPr>
          <w:color w:val="131314"/>
          <w:sz w:val="20"/>
          <w:szCs w:val="20"/>
        </w:rPr>
        <w:t xml:space="preserve">, </w:t>
      </w:r>
      <w:r w:rsidR="00F12921" w:rsidRPr="00F12921">
        <w:rPr>
          <w:color w:val="131314"/>
          <w:sz w:val="20"/>
          <w:szCs w:val="20"/>
        </w:rPr>
        <w:t xml:space="preserve">Johnny </w:t>
      </w:r>
      <w:proofErr w:type="spellStart"/>
      <w:r w:rsidR="00F12921" w:rsidRPr="00F12921">
        <w:rPr>
          <w:color w:val="131314"/>
          <w:sz w:val="20"/>
          <w:szCs w:val="20"/>
        </w:rPr>
        <w:t>Ludvigsson</w:t>
      </w:r>
      <w:proofErr w:type="spellEnd"/>
    </w:p>
    <w:p w14:paraId="0D03EDFF" w14:textId="69A9E461" w:rsidR="00216229" w:rsidRDefault="00216229" w:rsidP="00F12921">
      <w:pPr>
        <w:rPr>
          <w:b/>
          <w:bCs/>
          <w:color w:val="131314"/>
          <w:sz w:val="20"/>
          <w:szCs w:val="20"/>
        </w:rPr>
      </w:pPr>
      <w:r>
        <w:rPr>
          <w:b/>
          <w:bCs/>
          <w:color w:val="131314"/>
          <w:sz w:val="20"/>
          <w:szCs w:val="20"/>
        </w:rPr>
        <w:t>Summary:</w:t>
      </w:r>
    </w:p>
    <w:p w14:paraId="6B3B4A57"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Research utilizing the All Babies in Southeast Sweden (ABIS) birth cohort reveals that the development of Type 1 Diabetes (T1D) is not a uniform process but is instead characterized by significant mechanistic heterogeneity established as early as birth. By analyzing DNA methylation profiles in cord blood, this study identifies two distinct pathogenic pathways influenced by an individual’s Human Leukocyte Antigen (HLA) genetic risk:</w:t>
      </w:r>
    </w:p>
    <w:p w14:paraId="5C9FEC2E" w14:textId="77777777" w:rsidR="00F12921" w:rsidRPr="00F12921" w:rsidRDefault="00F12921" w:rsidP="00F12921">
      <w:pPr>
        <w:numPr>
          <w:ilvl w:val="0"/>
          <w:numId w:val="85"/>
        </w:numPr>
        <w:jc w:val="both"/>
        <w:rPr>
          <w:color w:val="000000"/>
          <w:sz w:val="20"/>
          <w:szCs w:val="20"/>
        </w:rPr>
      </w:pPr>
      <w:r w:rsidRPr="00F12921">
        <w:rPr>
          <w:b/>
          <w:bCs/>
          <w:color w:val="000000"/>
          <w:sz w:val="20"/>
          <w:szCs w:val="20"/>
        </w:rPr>
        <w:t>High-Risk (HR) HLA Pathway:</w:t>
      </w:r>
      <w:r w:rsidRPr="00F12921">
        <w:rPr>
          <w:rStyle w:val="apple-converted-space"/>
          <w:rFonts w:eastAsiaTheme="majorEastAsia"/>
          <w:color w:val="000000"/>
          <w:sz w:val="20"/>
          <w:szCs w:val="20"/>
        </w:rPr>
        <w:t> </w:t>
      </w:r>
      <w:r w:rsidRPr="00F12921">
        <w:rPr>
          <w:color w:val="000000"/>
          <w:sz w:val="20"/>
          <w:szCs w:val="20"/>
        </w:rPr>
        <w:t>Individuals with high-risk HLA alleles exhibit an "autoimmune signature." Their epigenetic patterns are enriched for immune-related and autoimmune mechanisms, closely resembling patterns found in other autoimmune diseases (NT1D).</w:t>
      </w:r>
    </w:p>
    <w:p w14:paraId="7E349539" w14:textId="77777777" w:rsidR="00F12921" w:rsidRPr="00F12921" w:rsidRDefault="00F12921" w:rsidP="00F12921">
      <w:pPr>
        <w:numPr>
          <w:ilvl w:val="0"/>
          <w:numId w:val="85"/>
        </w:numPr>
        <w:jc w:val="both"/>
        <w:rPr>
          <w:color w:val="000000"/>
          <w:sz w:val="20"/>
          <w:szCs w:val="20"/>
        </w:rPr>
      </w:pPr>
      <w:r w:rsidRPr="00F12921">
        <w:rPr>
          <w:b/>
          <w:bCs/>
          <w:color w:val="000000"/>
          <w:sz w:val="20"/>
          <w:szCs w:val="20"/>
        </w:rPr>
        <w:t>Low-to-Neutral Risk (LR) HLA Pathway:</w:t>
      </w:r>
      <w:r w:rsidRPr="00F12921">
        <w:rPr>
          <w:rStyle w:val="apple-converted-space"/>
          <w:rFonts w:eastAsiaTheme="majorEastAsia"/>
          <w:color w:val="000000"/>
          <w:sz w:val="20"/>
          <w:szCs w:val="20"/>
        </w:rPr>
        <w:t> </w:t>
      </w:r>
      <w:r w:rsidRPr="00F12921">
        <w:rPr>
          <w:color w:val="000000"/>
          <w:sz w:val="20"/>
          <w:szCs w:val="20"/>
        </w:rPr>
        <w:t>Individuals who develop T1D despite carrying low-to-neutral risk HLA alleles exhibit a "metabolic signature." Their epigenetic modifications are linked to signaling cascades, metabolic pathways, and mechanisms characteristic of Type 2 Diabetes (T2D), such as insulin resistance and beta-cell dysfunction.</w:t>
      </w:r>
    </w:p>
    <w:p w14:paraId="424D96DB"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These findings suggest that the genetic and epigenetic landscape present at birth, potentially modified by prenatal environmental factors such as maternal lifestyle and infections, dictates the specific driving mechanism—autoimmune or metabolic—for T1D later in life.</w:t>
      </w:r>
    </w:p>
    <w:p w14:paraId="0148508B" w14:textId="77777777" w:rsidR="00F12921" w:rsidRPr="00F12921" w:rsidRDefault="00F12921" w:rsidP="00F12921">
      <w:pPr>
        <w:pStyle w:val="Heading2"/>
        <w:spacing w:before="0" w:after="0"/>
        <w:jc w:val="both"/>
        <w:rPr>
          <w:rFonts w:ascii="Times New Roman" w:hAnsi="Times New Roman" w:cs="Times New Roman"/>
          <w:b/>
          <w:bCs/>
          <w:color w:val="000000"/>
          <w:sz w:val="20"/>
          <w:szCs w:val="20"/>
        </w:rPr>
      </w:pPr>
      <w:r w:rsidRPr="00F12921">
        <w:rPr>
          <w:rFonts w:ascii="Times New Roman" w:hAnsi="Times New Roman" w:cs="Times New Roman"/>
          <w:b/>
          <w:bCs/>
          <w:color w:val="000000"/>
          <w:sz w:val="20"/>
          <w:szCs w:val="20"/>
        </w:rPr>
        <w:t>Study Overview and Methodology</w:t>
      </w:r>
    </w:p>
    <w:p w14:paraId="4E46962C"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The study conducted systematic epigenome-wide association studies (EWAS) to assess DNA methylation profiles in cord blood from the ABIS cohort, which follows 17,055 individuals born between 1997 and 1999. Unlike other major cohorts (e.g., TEDDY, DIPP) that focus exclusively on high-risk individuals, ABIS tracks a general population, allowing for the investigation of T1D development in those without high genetic susceptibility.</w:t>
      </w:r>
    </w:p>
    <w:p w14:paraId="04FC003D" w14:textId="77777777" w:rsidR="00F12921" w:rsidRPr="00F12921" w:rsidRDefault="00F12921" w:rsidP="00F12921">
      <w:pPr>
        <w:pStyle w:val="Heading3"/>
        <w:spacing w:before="0" w:after="0"/>
        <w:jc w:val="both"/>
        <w:rPr>
          <w:rFonts w:cs="Times New Roman"/>
          <w:color w:val="000000"/>
          <w:sz w:val="20"/>
          <w:szCs w:val="20"/>
        </w:rPr>
      </w:pPr>
      <w:r w:rsidRPr="00F12921">
        <w:rPr>
          <w:rFonts w:cs="Times New Roman"/>
          <w:color w:val="000000"/>
          <w:sz w:val="20"/>
          <w:szCs w:val="20"/>
        </w:rPr>
        <w:t>Analysis Groups</w:t>
      </w:r>
    </w:p>
    <w:p w14:paraId="52A1D277"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The research compared four distinct groups:</w:t>
      </w:r>
    </w:p>
    <w:p w14:paraId="251402D0" w14:textId="77777777" w:rsidR="00F12921" w:rsidRPr="00F12921" w:rsidRDefault="00F12921" w:rsidP="00F12921">
      <w:pPr>
        <w:numPr>
          <w:ilvl w:val="0"/>
          <w:numId w:val="86"/>
        </w:numPr>
        <w:jc w:val="both"/>
        <w:rPr>
          <w:color w:val="000000"/>
          <w:sz w:val="20"/>
          <w:szCs w:val="20"/>
        </w:rPr>
      </w:pPr>
      <w:r w:rsidRPr="00F12921">
        <w:rPr>
          <w:b/>
          <w:bCs/>
          <w:color w:val="000000"/>
          <w:sz w:val="20"/>
          <w:szCs w:val="20"/>
        </w:rPr>
        <w:t>T1D-HR:</w:t>
      </w:r>
      <w:r w:rsidRPr="00F12921">
        <w:rPr>
          <w:rStyle w:val="apple-converted-space"/>
          <w:rFonts w:eastAsiaTheme="majorEastAsia"/>
          <w:color w:val="000000"/>
          <w:sz w:val="20"/>
          <w:szCs w:val="20"/>
        </w:rPr>
        <w:t> </w:t>
      </w:r>
      <w:r w:rsidRPr="00F12921">
        <w:rPr>
          <w:color w:val="000000"/>
          <w:sz w:val="20"/>
          <w:szCs w:val="20"/>
        </w:rPr>
        <w:t>Individuals with high-risk HLA alleles who developed T1D.</w:t>
      </w:r>
    </w:p>
    <w:p w14:paraId="0BBCA867" w14:textId="77777777" w:rsidR="00F12921" w:rsidRPr="00F12921" w:rsidRDefault="00F12921" w:rsidP="00F12921">
      <w:pPr>
        <w:numPr>
          <w:ilvl w:val="0"/>
          <w:numId w:val="86"/>
        </w:numPr>
        <w:jc w:val="both"/>
        <w:rPr>
          <w:color w:val="000000"/>
          <w:sz w:val="20"/>
          <w:szCs w:val="20"/>
        </w:rPr>
      </w:pPr>
      <w:r w:rsidRPr="00F12921">
        <w:rPr>
          <w:b/>
          <w:bCs/>
          <w:color w:val="000000"/>
          <w:sz w:val="20"/>
          <w:szCs w:val="20"/>
        </w:rPr>
        <w:t>T1D-LR:</w:t>
      </w:r>
      <w:r w:rsidRPr="00F12921">
        <w:rPr>
          <w:rStyle w:val="apple-converted-space"/>
          <w:rFonts w:eastAsiaTheme="majorEastAsia"/>
          <w:color w:val="000000"/>
          <w:sz w:val="20"/>
          <w:szCs w:val="20"/>
        </w:rPr>
        <w:t> </w:t>
      </w:r>
      <w:r w:rsidRPr="00F12921">
        <w:rPr>
          <w:color w:val="000000"/>
          <w:sz w:val="20"/>
          <w:szCs w:val="20"/>
        </w:rPr>
        <w:t>Individuals with low-to-neutral risk HLA alleles who developed T1D.</w:t>
      </w:r>
    </w:p>
    <w:p w14:paraId="5F952BCB" w14:textId="77777777" w:rsidR="00F12921" w:rsidRPr="00F12921" w:rsidRDefault="00F12921" w:rsidP="00F12921">
      <w:pPr>
        <w:numPr>
          <w:ilvl w:val="0"/>
          <w:numId w:val="86"/>
        </w:numPr>
        <w:jc w:val="both"/>
        <w:rPr>
          <w:color w:val="000000"/>
          <w:sz w:val="20"/>
          <w:szCs w:val="20"/>
        </w:rPr>
      </w:pPr>
      <w:r w:rsidRPr="00F12921">
        <w:rPr>
          <w:b/>
          <w:bCs/>
          <w:color w:val="000000"/>
          <w:sz w:val="20"/>
          <w:szCs w:val="20"/>
        </w:rPr>
        <w:t>NT1D-HR:</w:t>
      </w:r>
      <w:r w:rsidRPr="00F12921">
        <w:rPr>
          <w:rStyle w:val="apple-converted-space"/>
          <w:rFonts w:eastAsiaTheme="majorEastAsia"/>
          <w:color w:val="000000"/>
          <w:sz w:val="20"/>
          <w:szCs w:val="20"/>
        </w:rPr>
        <w:t> </w:t>
      </w:r>
      <w:r w:rsidRPr="00F12921">
        <w:rPr>
          <w:color w:val="000000"/>
          <w:sz w:val="20"/>
          <w:szCs w:val="20"/>
        </w:rPr>
        <w:t>Individuals with high-risk HLA alleles who developed other autoimmune diseases.</w:t>
      </w:r>
    </w:p>
    <w:p w14:paraId="78BDE34F" w14:textId="77777777" w:rsidR="00F12921" w:rsidRPr="00F12921" w:rsidRDefault="00F12921" w:rsidP="00F12921">
      <w:pPr>
        <w:numPr>
          <w:ilvl w:val="0"/>
          <w:numId w:val="86"/>
        </w:numPr>
        <w:jc w:val="both"/>
        <w:rPr>
          <w:color w:val="000000"/>
          <w:sz w:val="20"/>
          <w:szCs w:val="20"/>
        </w:rPr>
      </w:pPr>
      <w:r w:rsidRPr="00F12921">
        <w:rPr>
          <w:b/>
          <w:bCs/>
          <w:color w:val="000000"/>
          <w:sz w:val="20"/>
          <w:szCs w:val="20"/>
        </w:rPr>
        <w:t>Healthy Controls:</w:t>
      </w:r>
      <w:r w:rsidRPr="00F12921">
        <w:rPr>
          <w:rStyle w:val="apple-converted-space"/>
          <w:rFonts w:eastAsiaTheme="majorEastAsia"/>
          <w:color w:val="000000"/>
          <w:sz w:val="20"/>
          <w:szCs w:val="20"/>
        </w:rPr>
        <w:t> </w:t>
      </w:r>
      <w:r w:rsidRPr="00F12921">
        <w:rPr>
          <w:color w:val="000000"/>
          <w:sz w:val="20"/>
          <w:szCs w:val="20"/>
        </w:rPr>
        <w:t>Individuals with neutral or low-neutral risk HLA alleles.</w:t>
      </w:r>
    </w:p>
    <w:p w14:paraId="7BECBC94" w14:textId="77777777" w:rsidR="00F12921" w:rsidRPr="00F12921" w:rsidRDefault="00F12921" w:rsidP="00F12921">
      <w:pPr>
        <w:pStyle w:val="Heading2"/>
        <w:spacing w:before="0" w:after="0"/>
        <w:jc w:val="both"/>
        <w:rPr>
          <w:rFonts w:ascii="Times New Roman" w:hAnsi="Times New Roman" w:cs="Times New Roman"/>
          <w:b/>
          <w:bCs/>
          <w:color w:val="000000"/>
          <w:sz w:val="20"/>
          <w:szCs w:val="20"/>
        </w:rPr>
      </w:pPr>
      <w:r w:rsidRPr="00F12921">
        <w:rPr>
          <w:rFonts w:ascii="Times New Roman" w:hAnsi="Times New Roman" w:cs="Times New Roman"/>
          <w:b/>
          <w:bCs/>
          <w:color w:val="000000"/>
          <w:sz w:val="20"/>
          <w:szCs w:val="20"/>
        </w:rPr>
        <w:t>The High-Risk (HR) HLA Pathway: Autoimmune Mechanisms</w:t>
      </w:r>
    </w:p>
    <w:p w14:paraId="440B6EF4"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Individuals carrying high-risk HLA alleles who progress to T1D display a perinatal DNA methylome dominated by immune system dysregulation.</w:t>
      </w:r>
    </w:p>
    <w:p w14:paraId="05AC63C8" w14:textId="77777777" w:rsidR="00F12921" w:rsidRPr="00F12921" w:rsidRDefault="00F12921" w:rsidP="00F12921">
      <w:pPr>
        <w:pStyle w:val="Heading3"/>
        <w:spacing w:before="0" w:after="0"/>
        <w:jc w:val="both"/>
        <w:rPr>
          <w:rFonts w:cs="Times New Roman"/>
          <w:color w:val="000000"/>
          <w:sz w:val="20"/>
          <w:szCs w:val="20"/>
        </w:rPr>
      </w:pPr>
      <w:r w:rsidRPr="00F12921">
        <w:rPr>
          <w:rFonts w:cs="Times New Roman"/>
          <w:color w:val="000000"/>
          <w:sz w:val="20"/>
          <w:szCs w:val="20"/>
        </w:rPr>
        <w:t>Key Epigenetic Findings</w:t>
      </w:r>
    </w:p>
    <w:p w14:paraId="417C9AAA" w14:textId="77777777" w:rsidR="00F12921" w:rsidRPr="00F12921" w:rsidRDefault="00F12921" w:rsidP="00F12921">
      <w:pPr>
        <w:numPr>
          <w:ilvl w:val="0"/>
          <w:numId w:val="87"/>
        </w:numPr>
        <w:jc w:val="both"/>
        <w:rPr>
          <w:color w:val="000000"/>
          <w:sz w:val="20"/>
          <w:szCs w:val="20"/>
        </w:rPr>
      </w:pPr>
      <w:r w:rsidRPr="00F12921">
        <w:rPr>
          <w:b/>
          <w:bCs/>
          <w:color w:val="000000"/>
          <w:sz w:val="20"/>
          <w:szCs w:val="20"/>
        </w:rPr>
        <w:t>Shared Autoimmune Signatures:</w:t>
      </w:r>
      <w:r w:rsidRPr="00F12921">
        <w:rPr>
          <w:rStyle w:val="apple-converted-space"/>
          <w:rFonts w:eastAsiaTheme="majorEastAsia"/>
          <w:color w:val="000000"/>
          <w:sz w:val="20"/>
          <w:szCs w:val="20"/>
        </w:rPr>
        <w:t> </w:t>
      </w:r>
      <w:r w:rsidRPr="00F12921">
        <w:rPr>
          <w:color w:val="000000"/>
          <w:sz w:val="20"/>
          <w:szCs w:val="20"/>
        </w:rPr>
        <w:t>HR carriers, whether they developed T1D or other autoimmune diseases (NT1D), shared highly similar methylation patterns. This suggests that the HR HLA genotype predisposes individuals to a broad autoimmune-prone state.</w:t>
      </w:r>
    </w:p>
    <w:p w14:paraId="64464FA3" w14:textId="77777777" w:rsidR="00F12921" w:rsidRPr="00F12921" w:rsidRDefault="00F12921" w:rsidP="00F12921">
      <w:pPr>
        <w:numPr>
          <w:ilvl w:val="0"/>
          <w:numId w:val="87"/>
        </w:numPr>
        <w:jc w:val="both"/>
        <w:rPr>
          <w:color w:val="000000"/>
          <w:sz w:val="20"/>
          <w:szCs w:val="20"/>
        </w:rPr>
      </w:pPr>
      <w:r w:rsidRPr="00F12921">
        <w:rPr>
          <w:b/>
          <w:bCs/>
          <w:color w:val="000000"/>
          <w:sz w:val="20"/>
          <w:szCs w:val="20"/>
        </w:rPr>
        <w:t>HLA Gene Involvement:</w:t>
      </w:r>
      <w:r w:rsidRPr="00F12921">
        <w:rPr>
          <w:rStyle w:val="apple-converted-space"/>
          <w:rFonts w:eastAsiaTheme="majorEastAsia"/>
          <w:color w:val="000000"/>
          <w:sz w:val="20"/>
          <w:szCs w:val="20"/>
        </w:rPr>
        <w:t> </w:t>
      </w:r>
      <w:r w:rsidRPr="00F12921">
        <w:rPr>
          <w:color w:val="000000"/>
          <w:sz w:val="20"/>
          <w:szCs w:val="20"/>
        </w:rPr>
        <w:t>HLA genes were among the top differentially methylated genes (DMGs) in this group. Specifically,</w:t>
      </w:r>
      <w:r w:rsidRPr="00F12921">
        <w:rPr>
          <w:rStyle w:val="apple-converted-space"/>
          <w:rFonts w:eastAsiaTheme="majorEastAsia"/>
          <w:color w:val="000000"/>
          <w:sz w:val="20"/>
          <w:szCs w:val="20"/>
        </w:rPr>
        <w:t> </w:t>
      </w:r>
      <w:r w:rsidRPr="00F12921">
        <w:rPr>
          <w:i/>
          <w:iCs/>
          <w:color w:val="000000"/>
          <w:sz w:val="20"/>
          <w:szCs w:val="20"/>
        </w:rPr>
        <w:t>HLA-DQA1</w:t>
      </w:r>
      <w:r w:rsidRPr="00F12921">
        <w:rPr>
          <w:rStyle w:val="apple-converted-space"/>
          <w:rFonts w:eastAsiaTheme="majorEastAsia"/>
          <w:color w:val="000000"/>
          <w:sz w:val="20"/>
          <w:szCs w:val="20"/>
        </w:rPr>
        <w:t> </w:t>
      </w:r>
      <w:r w:rsidRPr="00F12921">
        <w:rPr>
          <w:color w:val="000000"/>
          <w:sz w:val="20"/>
          <w:szCs w:val="20"/>
        </w:rPr>
        <w:t>and</w:t>
      </w:r>
      <w:r w:rsidRPr="00F12921">
        <w:rPr>
          <w:rStyle w:val="apple-converted-space"/>
          <w:rFonts w:eastAsiaTheme="majorEastAsia"/>
          <w:color w:val="000000"/>
          <w:sz w:val="20"/>
          <w:szCs w:val="20"/>
        </w:rPr>
        <w:t> </w:t>
      </w:r>
      <w:r w:rsidRPr="00F12921">
        <w:rPr>
          <w:i/>
          <w:iCs/>
          <w:color w:val="000000"/>
          <w:sz w:val="20"/>
          <w:szCs w:val="20"/>
        </w:rPr>
        <w:t>HLA-DQA2</w:t>
      </w:r>
      <w:r w:rsidRPr="00F12921">
        <w:rPr>
          <w:rStyle w:val="apple-converted-space"/>
          <w:rFonts w:eastAsiaTheme="majorEastAsia"/>
          <w:color w:val="000000"/>
          <w:sz w:val="20"/>
          <w:szCs w:val="20"/>
        </w:rPr>
        <w:t> </w:t>
      </w:r>
      <w:r w:rsidRPr="00F12921">
        <w:rPr>
          <w:color w:val="000000"/>
          <w:sz w:val="20"/>
          <w:szCs w:val="20"/>
        </w:rPr>
        <w:t>were hypomethylated, which is believed to allow higher gene expression on immune cells, thereby promoting T-cell-mediated autoimmunity.</w:t>
      </w:r>
    </w:p>
    <w:p w14:paraId="7869FEEC" w14:textId="77777777" w:rsidR="00F12921" w:rsidRPr="00F12921" w:rsidRDefault="00F12921" w:rsidP="00F12921">
      <w:pPr>
        <w:numPr>
          <w:ilvl w:val="0"/>
          <w:numId w:val="87"/>
        </w:numPr>
        <w:jc w:val="both"/>
        <w:rPr>
          <w:color w:val="000000"/>
          <w:sz w:val="20"/>
          <w:szCs w:val="20"/>
        </w:rPr>
      </w:pPr>
      <w:r w:rsidRPr="00F12921">
        <w:rPr>
          <w:b/>
          <w:bCs/>
          <w:color w:val="000000"/>
          <w:sz w:val="20"/>
          <w:szCs w:val="20"/>
        </w:rPr>
        <w:t>Interferon and Viral Pathways:</w:t>
      </w:r>
      <w:r w:rsidRPr="00F12921">
        <w:rPr>
          <w:rStyle w:val="apple-converted-space"/>
          <w:rFonts w:eastAsiaTheme="majorEastAsia"/>
          <w:color w:val="000000"/>
          <w:sz w:val="20"/>
          <w:szCs w:val="20"/>
        </w:rPr>
        <w:t> </w:t>
      </w:r>
      <w:r w:rsidRPr="00F12921">
        <w:rPr>
          <w:color w:val="000000"/>
          <w:sz w:val="20"/>
          <w:szCs w:val="20"/>
        </w:rPr>
        <w:t>Findings highlighted the involvement of the</w:t>
      </w:r>
      <w:r w:rsidRPr="00F12921">
        <w:rPr>
          <w:rStyle w:val="apple-converted-space"/>
          <w:rFonts w:eastAsiaTheme="majorEastAsia"/>
          <w:color w:val="000000"/>
          <w:sz w:val="20"/>
          <w:szCs w:val="20"/>
        </w:rPr>
        <w:t> </w:t>
      </w:r>
      <w:r w:rsidRPr="00F12921">
        <w:rPr>
          <w:i/>
          <w:iCs/>
          <w:color w:val="000000"/>
          <w:sz w:val="20"/>
          <w:szCs w:val="20"/>
        </w:rPr>
        <w:t>MX2</w:t>
      </w:r>
      <w:r w:rsidRPr="00F12921">
        <w:rPr>
          <w:rStyle w:val="apple-converted-space"/>
          <w:rFonts w:eastAsiaTheme="majorEastAsia"/>
          <w:color w:val="000000"/>
          <w:sz w:val="20"/>
          <w:szCs w:val="20"/>
        </w:rPr>
        <w:t> </w:t>
      </w:r>
      <w:r w:rsidRPr="00F12921">
        <w:rPr>
          <w:color w:val="000000"/>
          <w:sz w:val="20"/>
          <w:szCs w:val="20"/>
        </w:rPr>
        <w:t>(</w:t>
      </w:r>
      <w:proofErr w:type="spellStart"/>
      <w:r w:rsidRPr="00F12921">
        <w:rPr>
          <w:color w:val="000000"/>
          <w:sz w:val="20"/>
          <w:szCs w:val="20"/>
        </w:rPr>
        <w:t>Myxovirus</w:t>
      </w:r>
      <w:proofErr w:type="spellEnd"/>
      <w:r w:rsidRPr="00F12921">
        <w:rPr>
          <w:color w:val="000000"/>
          <w:sz w:val="20"/>
          <w:szCs w:val="20"/>
        </w:rPr>
        <w:t xml:space="preserve"> resistance 2) gene. In HR carriers,</w:t>
      </w:r>
      <w:r w:rsidRPr="00F12921">
        <w:rPr>
          <w:rStyle w:val="apple-converted-space"/>
          <w:rFonts w:eastAsiaTheme="majorEastAsia"/>
          <w:color w:val="000000"/>
          <w:sz w:val="20"/>
          <w:szCs w:val="20"/>
        </w:rPr>
        <w:t> </w:t>
      </w:r>
      <w:r w:rsidRPr="00F12921">
        <w:rPr>
          <w:i/>
          <w:iCs/>
          <w:color w:val="000000"/>
          <w:sz w:val="20"/>
          <w:szCs w:val="20"/>
        </w:rPr>
        <w:t>MX2</w:t>
      </w:r>
      <w:r w:rsidRPr="00F12921">
        <w:rPr>
          <w:rStyle w:val="apple-converted-space"/>
          <w:rFonts w:eastAsiaTheme="majorEastAsia"/>
          <w:color w:val="000000"/>
          <w:sz w:val="20"/>
          <w:szCs w:val="20"/>
        </w:rPr>
        <w:t> </w:t>
      </w:r>
      <w:r w:rsidRPr="00F12921">
        <w:rPr>
          <w:color w:val="000000"/>
          <w:sz w:val="20"/>
          <w:szCs w:val="20"/>
        </w:rPr>
        <w:t>was hypermethylated. Reduced expression of this gene may render pancreatic beta cells more vulnerable to damage from enteroviruses, a known environmental trigger for T1D.</w:t>
      </w:r>
    </w:p>
    <w:p w14:paraId="74F91AD5" w14:textId="77777777" w:rsidR="00F12921" w:rsidRPr="00F12921" w:rsidRDefault="00F12921" w:rsidP="00F12921">
      <w:pPr>
        <w:pStyle w:val="Heading2"/>
        <w:spacing w:before="0" w:after="0"/>
        <w:jc w:val="both"/>
        <w:rPr>
          <w:rFonts w:ascii="Times New Roman" w:hAnsi="Times New Roman" w:cs="Times New Roman"/>
          <w:b/>
          <w:bCs/>
          <w:color w:val="000000"/>
          <w:sz w:val="20"/>
          <w:szCs w:val="20"/>
        </w:rPr>
      </w:pPr>
      <w:r w:rsidRPr="00F12921">
        <w:rPr>
          <w:rFonts w:ascii="Times New Roman" w:hAnsi="Times New Roman" w:cs="Times New Roman"/>
          <w:b/>
          <w:bCs/>
          <w:color w:val="000000"/>
          <w:sz w:val="20"/>
          <w:szCs w:val="20"/>
        </w:rPr>
        <w:t>The Low-to-Neutral Risk (LR) HLA Pathway: Metabolic Mechanisms</w:t>
      </w:r>
    </w:p>
    <w:p w14:paraId="13874AED"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In contrast to the immune-heavy profile of HR carriers, individuals with LR HLA alleles who developed T1D showed a profile more aligned with metabolic stress and insulin-related dysfunction.</w:t>
      </w:r>
    </w:p>
    <w:p w14:paraId="48522F01" w14:textId="77777777" w:rsidR="00F12921" w:rsidRPr="00F12921" w:rsidRDefault="00F12921" w:rsidP="00F12921">
      <w:pPr>
        <w:pStyle w:val="Heading3"/>
        <w:spacing w:before="0" w:after="0"/>
        <w:jc w:val="both"/>
        <w:rPr>
          <w:rFonts w:cs="Times New Roman"/>
          <w:color w:val="000000"/>
          <w:sz w:val="20"/>
          <w:szCs w:val="20"/>
        </w:rPr>
      </w:pPr>
      <w:r w:rsidRPr="00F12921">
        <w:rPr>
          <w:rFonts w:cs="Times New Roman"/>
          <w:color w:val="000000"/>
          <w:sz w:val="20"/>
          <w:szCs w:val="20"/>
        </w:rPr>
        <w:lastRenderedPageBreak/>
        <w:t>Key Epigenetic Findings</w:t>
      </w:r>
    </w:p>
    <w:p w14:paraId="13E20917" w14:textId="77777777" w:rsidR="00F12921" w:rsidRPr="00F12921" w:rsidRDefault="00F12921" w:rsidP="00F12921">
      <w:pPr>
        <w:numPr>
          <w:ilvl w:val="0"/>
          <w:numId w:val="88"/>
        </w:numPr>
        <w:jc w:val="both"/>
        <w:rPr>
          <w:color w:val="000000"/>
          <w:sz w:val="20"/>
          <w:szCs w:val="20"/>
        </w:rPr>
      </w:pPr>
      <w:r w:rsidRPr="00F12921">
        <w:rPr>
          <w:b/>
          <w:bCs/>
          <w:color w:val="000000"/>
          <w:sz w:val="20"/>
          <w:szCs w:val="20"/>
        </w:rPr>
        <w:t>Metabolic and T2D Pathways:</w:t>
      </w:r>
      <w:r w:rsidRPr="00F12921">
        <w:rPr>
          <w:rStyle w:val="apple-converted-space"/>
          <w:rFonts w:eastAsiaTheme="majorEastAsia"/>
          <w:color w:val="000000"/>
          <w:sz w:val="20"/>
          <w:szCs w:val="20"/>
        </w:rPr>
        <w:t> </w:t>
      </w:r>
      <w:r w:rsidRPr="00F12921">
        <w:rPr>
          <w:color w:val="000000"/>
          <w:sz w:val="20"/>
          <w:szCs w:val="20"/>
        </w:rPr>
        <w:t>DMGs in this group were predominantly enriched in metabolic pathways, insulin resistance, and cellular signaling cascades.</w:t>
      </w:r>
    </w:p>
    <w:p w14:paraId="61837505" w14:textId="77777777" w:rsidR="00F12921" w:rsidRPr="00F12921" w:rsidRDefault="00F12921" w:rsidP="00F12921">
      <w:pPr>
        <w:numPr>
          <w:ilvl w:val="0"/>
          <w:numId w:val="88"/>
        </w:numPr>
        <w:jc w:val="both"/>
        <w:rPr>
          <w:color w:val="000000"/>
          <w:sz w:val="20"/>
          <w:szCs w:val="20"/>
        </w:rPr>
      </w:pPr>
      <w:r w:rsidRPr="00F12921">
        <w:rPr>
          <w:b/>
          <w:bCs/>
          <w:color w:val="000000"/>
          <w:sz w:val="20"/>
          <w:szCs w:val="20"/>
        </w:rPr>
        <w:t>Beta-Cell Dysfunction:</w:t>
      </w:r>
      <w:r w:rsidRPr="00F12921">
        <w:rPr>
          <w:rStyle w:val="apple-converted-space"/>
          <w:rFonts w:eastAsiaTheme="majorEastAsia"/>
          <w:color w:val="000000"/>
          <w:sz w:val="20"/>
          <w:szCs w:val="20"/>
        </w:rPr>
        <w:t> </w:t>
      </w:r>
      <w:r w:rsidRPr="00F12921">
        <w:rPr>
          <w:color w:val="000000"/>
          <w:sz w:val="20"/>
          <w:szCs w:val="20"/>
        </w:rPr>
        <w:t>Genes associated with insulin granule turnover and secretion, such as</w:t>
      </w:r>
      <w:r w:rsidRPr="00F12921">
        <w:rPr>
          <w:rStyle w:val="apple-converted-space"/>
          <w:rFonts w:eastAsiaTheme="majorEastAsia"/>
          <w:color w:val="000000"/>
          <w:sz w:val="20"/>
          <w:szCs w:val="20"/>
        </w:rPr>
        <w:t> </w:t>
      </w:r>
      <w:r w:rsidRPr="00F12921">
        <w:rPr>
          <w:i/>
          <w:iCs/>
          <w:color w:val="000000"/>
          <w:sz w:val="20"/>
          <w:szCs w:val="20"/>
        </w:rPr>
        <w:t>STX8</w:t>
      </w:r>
      <w:r w:rsidRPr="00F12921">
        <w:rPr>
          <w:color w:val="000000"/>
          <w:sz w:val="20"/>
          <w:szCs w:val="20"/>
        </w:rPr>
        <w:t>, showed distinct methylation patterns. Hypermethylation of</w:t>
      </w:r>
      <w:r w:rsidRPr="00F12921">
        <w:rPr>
          <w:rStyle w:val="apple-converted-space"/>
          <w:rFonts w:eastAsiaTheme="majorEastAsia"/>
          <w:color w:val="000000"/>
          <w:sz w:val="20"/>
          <w:szCs w:val="20"/>
        </w:rPr>
        <w:t> </w:t>
      </w:r>
      <w:r w:rsidRPr="00F12921">
        <w:rPr>
          <w:i/>
          <w:iCs/>
          <w:color w:val="000000"/>
          <w:sz w:val="20"/>
          <w:szCs w:val="20"/>
        </w:rPr>
        <w:t>STX8</w:t>
      </w:r>
      <w:r w:rsidRPr="00F12921">
        <w:rPr>
          <w:rStyle w:val="apple-converted-space"/>
          <w:rFonts w:eastAsiaTheme="majorEastAsia"/>
          <w:color w:val="000000"/>
          <w:sz w:val="20"/>
          <w:szCs w:val="20"/>
        </w:rPr>
        <w:t> </w:t>
      </w:r>
      <w:r w:rsidRPr="00F12921">
        <w:rPr>
          <w:color w:val="000000"/>
          <w:sz w:val="20"/>
          <w:szCs w:val="20"/>
        </w:rPr>
        <w:t>in LR carriers suggests a perinatal susceptibility to beta-cell dysfunction via metabolic pathways rather than direct autoimmune attack.</w:t>
      </w:r>
    </w:p>
    <w:p w14:paraId="0B2D2D77" w14:textId="77777777" w:rsidR="00F12921" w:rsidRPr="00F12921" w:rsidRDefault="00F12921" w:rsidP="00F12921">
      <w:pPr>
        <w:numPr>
          <w:ilvl w:val="0"/>
          <w:numId w:val="88"/>
        </w:numPr>
        <w:jc w:val="both"/>
        <w:rPr>
          <w:color w:val="000000"/>
          <w:sz w:val="20"/>
          <w:szCs w:val="20"/>
        </w:rPr>
      </w:pPr>
      <w:r w:rsidRPr="00F12921">
        <w:rPr>
          <w:b/>
          <w:bCs/>
          <w:color w:val="000000"/>
          <w:sz w:val="20"/>
          <w:szCs w:val="20"/>
        </w:rPr>
        <w:t>Insulin Resistance Indicators:</w:t>
      </w:r>
      <w:r w:rsidRPr="00F12921">
        <w:rPr>
          <w:rStyle w:val="apple-converted-space"/>
          <w:rFonts w:eastAsiaTheme="majorEastAsia"/>
          <w:color w:val="000000"/>
          <w:sz w:val="20"/>
          <w:szCs w:val="20"/>
        </w:rPr>
        <w:t> </w:t>
      </w:r>
      <w:r w:rsidRPr="00F12921">
        <w:rPr>
          <w:color w:val="000000"/>
          <w:sz w:val="20"/>
          <w:szCs w:val="20"/>
        </w:rPr>
        <w:t>Significant hypomethylation was observed in the</w:t>
      </w:r>
      <w:r w:rsidRPr="00F12921">
        <w:rPr>
          <w:rStyle w:val="apple-converted-space"/>
          <w:rFonts w:eastAsiaTheme="majorEastAsia"/>
          <w:color w:val="000000"/>
          <w:sz w:val="20"/>
          <w:szCs w:val="20"/>
        </w:rPr>
        <w:t> </w:t>
      </w:r>
      <w:r w:rsidRPr="00F12921">
        <w:rPr>
          <w:i/>
          <w:iCs/>
          <w:color w:val="000000"/>
          <w:sz w:val="20"/>
          <w:szCs w:val="20"/>
        </w:rPr>
        <w:t>ARHGEF11</w:t>
      </w:r>
      <w:r w:rsidRPr="00F12921">
        <w:rPr>
          <w:rStyle w:val="apple-converted-space"/>
          <w:rFonts w:eastAsiaTheme="majorEastAsia"/>
          <w:color w:val="000000"/>
          <w:sz w:val="20"/>
          <w:szCs w:val="20"/>
        </w:rPr>
        <w:t> </w:t>
      </w:r>
      <w:r w:rsidRPr="00F12921">
        <w:rPr>
          <w:color w:val="000000"/>
          <w:sz w:val="20"/>
          <w:szCs w:val="20"/>
        </w:rPr>
        <w:t>gene. Genetic variants of</w:t>
      </w:r>
      <w:r w:rsidRPr="00F12921">
        <w:rPr>
          <w:rStyle w:val="apple-converted-space"/>
          <w:rFonts w:eastAsiaTheme="majorEastAsia"/>
          <w:color w:val="000000"/>
          <w:sz w:val="20"/>
          <w:szCs w:val="20"/>
        </w:rPr>
        <w:t> </w:t>
      </w:r>
      <w:r w:rsidRPr="00F12921">
        <w:rPr>
          <w:i/>
          <w:iCs/>
          <w:color w:val="000000"/>
          <w:sz w:val="20"/>
          <w:szCs w:val="20"/>
        </w:rPr>
        <w:t>ARHGEF11</w:t>
      </w:r>
      <w:r w:rsidRPr="00F12921">
        <w:rPr>
          <w:rStyle w:val="apple-converted-space"/>
          <w:rFonts w:eastAsiaTheme="majorEastAsia"/>
          <w:color w:val="000000"/>
          <w:sz w:val="20"/>
          <w:szCs w:val="20"/>
        </w:rPr>
        <w:t> </w:t>
      </w:r>
      <w:r w:rsidRPr="00F12921">
        <w:rPr>
          <w:color w:val="000000"/>
          <w:sz w:val="20"/>
          <w:szCs w:val="20"/>
        </w:rPr>
        <w:t>are strongly associated with T2D risk, altered glucose metabolism, and fasting insulin levels.</w:t>
      </w:r>
    </w:p>
    <w:p w14:paraId="334E5556" w14:textId="77777777" w:rsidR="00F12921" w:rsidRPr="00F12921" w:rsidRDefault="00F12921" w:rsidP="00F12921">
      <w:pPr>
        <w:pStyle w:val="Heading2"/>
        <w:spacing w:before="0" w:after="0"/>
        <w:jc w:val="both"/>
        <w:rPr>
          <w:rFonts w:ascii="Times New Roman" w:hAnsi="Times New Roman" w:cs="Times New Roman"/>
          <w:b/>
          <w:bCs/>
          <w:color w:val="000000"/>
          <w:sz w:val="20"/>
          <w:szCs w:val="20"/>
        </w:rPr>
      </w:pPr>
      <w:r w:rsidRPr="00F12921">
        <w:rPr>
          <w:rFonts w:ascii="Times New Roman" w:hAnsi="Times New Roman" w:cs="Times New Roman"/>
          <w:b/>
          <w:bCs/>
          <w:color w:val="000000"/>
          <w:sz w:val="20"/>
          <w:szCs w:val="20"/>
        </w:rPr>
        <w:t>Comparative Analysis of Key Differentially Methylated Genes (DMGs)</w:t>
      </w:r>
    </w:p>
    <w:p w14:paraId="5F2CA3C6"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The following table details critical genes identified in the cord blood DNA and their biological relevance to T1D development.</w:t>
      </w:r>
    </w:p>
    <w:tbl>
      <w:tblPr>
        <w:tblW w:w="2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6"/>
        <w:gridCol w:w="1130"/>
        <w:gridCol w:w="1274"/>
        <w:gridCol w:w="1419"/>
      </w:tblGrid>
      <w:tr w:rsidR="00F12921" w:rsidRPr="00F12921" w14:paraId="03639757" w14:textId="77777777" w:rsidTr="00F12921">
        <w:tc>
          <w:tcPr>
            <w:tcW w:w="50" w:type="dxa"/>
            <w:tcBorders>
              <w:top w:val="outset" w:sz="6" w:space="0" w:color="auto"/>
              <w:left w:val="outset" w:sz="6" w:space="0" w:color="auto"/>
              <w:bottom w:val="outset" w:sz="6" w:space="0" w:color="auto"/>
              <w:right w:val="outset" w:sz="6" w:space="0" w:color="auto"/>
            </w:tcBorders>
            <w:vAlign w:val="center"/>
            <w:hideMark/>
          </w:tcPr>
          <w:p w14:paraId="4E93D379"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Gene</w:t>
            </w:r>
          </w:p>
        </w:tc>
        <w:tc>
          <w:tcPr>
            <w:tcW w:w="50" w:type="dxa"/>
            <w:tcBorders>
              <w:top w:val="outset" w:sz="6" w:space="0" w:color="auto"/>
              <w:left w:val="outset" w:sz="6" w:space="0" w:color="auto"/>
              <w:bottom w:val="outset" w:sz="6" w:space="0" w:color="auto"/>
              <w:right w:val="outset" w:sz="6" w:space="0" w:color="auto"/>
            </w:tcBorders>
            <w:vAlign w:val="center"/>
            <w:hideMark/>
          </w:tcPr>
          <w:p w14:paraId="18249C0E"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Biological Context</w:t>
            </w:r>
          </w:p>
        </w:tc>
        <w:tc>
          <w:tcPr>
            <w:tcW w:w="50" w:type="dxa"/>
            <w:tcBorders>
              <w:top w:val="outset" w:sz="6" w:space="0" w:color="auto"/>
              <w:left w:val="outset" w:sz="6" w:space="0" w:color="auto"/>
              <w:bottom w:val="outset" w:sz="6" w:space="0" w:color="auto"/>
              <w:right w:val="outset" w:sz="6" w:space="0" w:color="auto"/>
            </w:tcBorders>
            <w:vAlign w:val="center"/>
            <w:hideMark/>
          </w:tcPr>
          <w:p w14:paraId="4F83896B"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Established Function / Relevance</w:t>
            </w:r>
          </w:p>
        </w:tc>
        <w:tc>
          <w:tcPr>
            <w:tcW w:w="50" w:type="dxa"/>
            <w:tcBorders>
              <w:top w:val="outset" w:sz="6" w:space="0" w:color="auto"/>
              <w:left w:val="outset" w:sz="6" w:space="0" w:color="auto"/>
              <w:bottom w:val="outset" w:sz="6" w:space="0" w:color="auto"/>
              <w:right w:val="outset" w:sz="6" w:space="0" w:color="auto"/>
            </w:tcBorders>
            <w:vAlign w:val="center"/>
            <w:hideMark/>
          </w:tcPr>
          <w:p w14:paraId="043BC0E4"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HLA Risk Association</w:t>
            </w:r>
          </w:p>
        </w:tc>
      </w:tr>
      <w:tr w:rsidR="00F12921" w:rsidRPr="00F12921" w14:paraId="42B47CEB" w14:textId="77777777" w:rsidTr="00F12921">
        <w:tc>
          <w:tcPr>
            <w:tcW w:w="50" w:type="dxa"/>
            <w:tcBorders>
              <w:top w:val="outset" w:sz="6" w:space="0" w:color="auto"/>
              <w:left w:val="outset" w:sz="6" w:space="0" w:color="auto"/>
              <w:bottom w:val="outset" w:sz="6" w:space="0" w:color="auto"/>
              <w:right w:val="outset" w:sz="6" w:space="0" w:color="auto"/>
            </w:tcBorders>
            <w:vAlign w:val="center"/>
            <w:hideMark/>
          </w:tcPr>
          <w:p w14:paraId="1EB1940A" w14:textId="77777777" w:rsidR="00F12921" w:rsidRPr="00F12921" w:rsidRDefault="00F12921" w:rsidP="00F12921">
            <w:pPr>
              <w:pStyle w:val="NormalWeb"/>
              <w:spacing w:before="0" w:beforeAutospacing="0" w:after="0" w:afterAutospacing="0"/>
              <w:jc w:val="both"/>
              <w:rPr>
                <w:color w:val="000000"/>
                <w:sz w:val="20"/>
                <w:szCs w:val="20"/>
              </w:rPr>
            </w:pPr>
            <w:r w:rsidRPr="00F12921">
              <w:rPr>
                <w:b/>
                <w:bCs/>
                <w:color w:val="000000"/>
                <w:sz w:val="20"/>
                <w:szCs w:val="20"/>
              </w:rPr>
              <w:t>HLA-DQA1 / DQA2</w:t>
            </w:r>
          </w:p>
        </w:tc>
        <w:tc>
          <w:tcPr>
            <w:tcW w:w="50" w:type="dxa"/>
            <w:tcBorders>
              <w:top w:val="outset" w:sz="6" w:space="0" w:color="auto"/>
              <w:left w:val="outset" w:sz="6" w:space="0" w:color="auto"/>
              <w:bottom w:val="outset" w:sz="6" w:space="0" w:color="auto"/>
              <w:right w:val="outset" w:sz="6" w:space="0" w:color="auto"/>
            </w:tcBorders>
            <w:vAlign w:val="center"/>
            <w:hideMark/>
          </w:tcPr>
          <w:p w14:paraId="1D88F649"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Antigen presentation</w:t>
            </w:r>
          </w:p>
        </w:tc>
        <w:tc>
          <w:tcPr>
            <w:tcW w:w="50" w:type="dxa"/>
            <w:tcBorders>
              <w:top w:val="outset" w:sz="6" w:space="0" w:color="auto"/>
              <w:left w:val="outset" w:sz="6" w:space="0" w:color="auto"/>
              <w:bottom w:val="outset" w:sz="6" w:space="0" w:color="auto"/>
              <w:right w:val="outset" w:sz="6" w:space="0" w:color="auto"/>
            </w:tcBorders>
            <w:vAlign w:val="center"/>
            <w:hideMark/>
          </w:tcPr>
          <w:p w14:paraId="2A5D2045"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Major T1D risk; presents antigens to CD4+ T cells.</w:t>
            </w:r>
          </w:p>
        </w:tc>
        <w:tc>
          <w:tcPr>
            <w:tcW w:w="50" w:type="dxa"/>
            <w:tcBorders>
              <w:top w:val="outset" w:sz="6" w:space="0" w:color="auto"/>
              <w:left w:val="outset" w:sz="6" w:space="0" w:color="auto"/>
              <w:bottom w:val="outset" w:sz="6" w:space="0" w:color="auto"/>
              <w:right w:val="outset" w:sz="6" w:space="0" w:color="auto"/>
            </w:tcBorders>
            <w:vAlign w:val="center"/>
            <w:hideMark/>
          </w:tcPr>
          <w:p w14:paraId="51ABB10F"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Hypomethylated in HR</w:t>
            </w:r>
          </w:p>
        </w:tc>
      </w:tr>
      <w:tr w:rsidR="00F12921" w:rsidRPr="00F12921" w14:paraId="526BED42" w14:textId="77777777" w:rsidTr="00F12921">
        <w:tc>
          <w:tcPr>
            <w:tcW w:w="50" w:type="dxa"/>
            <w:tcBorders>
              <w:top w:val="outset" w:sz="6" w:space="0" w:color="auto"/>
              <w:left w:val="outset" w:sz="6" w:space="0" w:color="auto"/>
              <w:bottom w:val="outset" w:sz="6" w:space="0" w:color="auto"/>
              <w:right w:val="outset" w:sz="6" w:space="0" w:color="auto"/>
            </w:tcBorders>
            <w:vAlign w:val="center"/>
            <w:hideMark/>
          </w:tcPr>
          <w:p w14:paraId="21290F80" w14:textId="77777777" w:rsidR="00F12921" w:rsidRPr="00F12921" w:rsidRDefault="00F12921" w:rsidP="00F12921">
            <w:pPr>
              <w:pStyle w:val="NormalWeb"/>
              <w:spacing w:before="0" w:beforeAutospacing="0" w:after="0" w:afterAutospacing="0"/>
              <w:jc w:val="both"/>
              <w:rPr>
                <w:color w:val="000000"/>
                <w:sz w:val="20"/>
                <w:szCs w:val="20"/>
              </w:rPr>
            </w:pPr>
            <w:r w:rsidRPr="00F12921">
              <w:rPr>
                <w:b/>
                <w:bCs/>
                <w:color w:val="000000"/>
                <w:sz w:val="20"/>
                <w:szCs w:val="20"/>
              </w:rPr>
              <w:t>STX8</w:t>
            </w:r>
          </w:p>
        </w:tc>
        <w:tc>
          <w:tcPr>
            <w:tcW w:w="50" w:type="dxa"/>
            <w:tcBorders>
              <w:top w:val="outset" w:sz="6" w:space="0" w:color="auto"/>
              <w:left w:val="outset" w:sz="6" w:space="0" w:color="auto"/>
              <w:bottom w:val="outset" w:sz="6" w:space="0" w:color="auto"/>
              <w:right w:val="outset" w:sz="6" w:space="0" w:color="auto"/>
            </w:tcBorders>
            <w:vAlign w:val="center"/>
            <w:hideMark/>
          </w:tcPr>
          <w:p w14:paraId="3F4469F5"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Beta-cell function</w:t>
            </w:r>
          </w:p>
        </w:tc>
        <w:tc>
          <w:tcPr>
            <w:tcW w:w="50" w:type="dxa"/>
            <w:tcBorders>
              <w:top w:val="outset" w:sz="6" w:space="0" w:color="auto"/>
              <w:left w:val="outset" w:sz="6" w:space="0" w:color="auto"/>
              <w:bottom w:val="outset" w:sz="6" w:space="0" w:color="auto"/>
              <w:right w:val="outset" w:sz="6" w:space="0" w:color="auto"/>
            </w:tcBorders>
            <w:vAlign w:val="center"/>
            <w:hideMark/>
          </w:tcPr>
          <w:p w14:paraId="3EA1A848"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Regulates insulin granule turnover and endosomal trafficking.</w:t>
            </w:r>
          </w:p>
        </w:tc>
        <w:tc>
          <w:tcPr>
            <w:tcW w:w="50" w:type="dxa"/>
            <w:tcBorders>
              <w:top w:val="outset" w:sz="6" w:space="0" w:color="auto"/>
              <w:left w:val="outset" w:sz="6" w:space="0" w:color="auto"/>
              <w:bottom w:val="outset" w:sz="6" w:space="0" w:color="auto"/>
              <w:right w:val="outset" w:sz="6" w:space="0" w:color="auto"/>
            </w:tcBorders>
            <w:vAlign w:val="center"/>
            <w:hideMark/>
          </w:tcPr>
          <w:p w14:paraId="5AC1A88C"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Hypermethylated in LR</w:t>
            </w:r>
          </w:p>
        </w:tc>
      </w:tr>
      <w:tr w:rsidR="00F12921" w:rsidRPr="00F12921" w14:paraId="563C7D0B" w14:textId="77777777" w:rsidTr="00F12921">
        <w:tc>
          <w:tcPr>
            <w:tcW w:w="50" w:type="dxa"/>
            <w:tcBorders>
              <w:top w:val="outset" w:sz="6" w:space="0" w:color="auto"/>
              <w:left w:val="outset" w:sz="6" w:space="0" w:color="auto"/>
              <w:bottom w:val="outset" w:sz="6" w:space="0" w:color="auto"/>
              <w:right w:val="outset" w:sz="6" w:space="0" w:color="auto"/>
            </w:tcBorders>
            <w:vAlign w:val="center"/>
            <w:hideMark/>
          </w:tcPr>
          <w:p w14:paraId="1179D41F" w14:textId="77777777" w:rsidR="00F12921" w:rsidRPr="00F12921" w:rsidRDefault="00F12921" w:rsidP="00F12921">
            <w:pPr>
              <w:pStyle w:val="NormalWeb"/>
              <w:spacing w:before="0" w:beforeAutospacing="0" w:after="0" w:afterAutospacing="0"/>
              <w:jc w:val="both"/>
              <w:rPr>
                <w:color w:val="000000"/>
                <w:sz w:val="20"/>
                <w:szCs w:val="20"/>
              </w:rPr>
            </w:pPr>
            <w:r w:rsidRPr="00F12921">
              <w:rPr>
                <w:b/>
                <w:bCs/>
                <w:color w:val="000000"/>
                <w:sz w:val="20"/>
                <w:szCs w:val="20"/>
              </w:rPr>
              <w:t>ARHGEF11</w:t>
            </w:r>
          </w:p>
        </w:tc>
        <w:tc>
          <w:tcPr>
            <w:tcW w:w="50" w:type="dxa"/>
            <w:tcBorders>
              <w:top w:val="outset" w:sz="6" w:space="0" w:color="auto"/>
              <w:left w:val="outset" w:sz="6" w:space="0" w:color="auto"/>
              <w:bottom w:val="outset" w:sz="6" w:space="0" w:color="auto"/>
              <w:right w:val="outset" w:sz="6" w:space="0" w:color="auto"/>
            </w:tcBorders>
            <w:vAlign w:val="center"/>
            <w:hideMark/>
          </w:tcPr>
          <w:p w14:paraId="09CB6642"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Rho GTPase signaling</w:t>
            </w:r>
          </w:p>
        </w:tc>
        <w:tc>
          <w:tcPr>
            <w:tcW w:w="50" w:type="dxa"/>
            <w:tcBorders>
              <w:top w:val="outset" w:sz="6" w:space="0" w:color="auto"/>
              <w:left w:val="outset" w:sz="6" w:space="0" w:color="auto"/>
              <w:bottom w:val="outset" w:sz="6" w:space="0" w:color="auto"/>
              <w:right w:val="outset" w:sz="6" w:space="0" w:color="auto"/>
            </w:tcBorders>
            <w:vAlign w:val="center"/>
            <w:hideMark/>
          </w:tcPr>
          <w:p w14:paraId="5B1E9FE8"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Linked to T2D risk and insulin resistance.</w:t>
            </w:r>
          </w:p>
        </w:tc>
        <w:tc>
          <w:tcPr>
            <w:tcW w:w="50" w:type="dxa"/>
            <w:tcBorders>
              <w:top w:val="outset" w:sz="6" w:space="0" w:color="auto"/>
              <w:left w:val="outset" w:sz="6" w:space="0" w:color="auto"/>
              <w:bottom w:val="outset" w:sz="6" w:space="0" w:color="auto"/>
              <w:right w:val="outset" w:sz="6" w:space="0" w:color="auto"/>
            </w:tcBorders>
            <w:vAlign w:val="center"/>
            <w:hideMark/>
          </w:tcPr>
          <w:p w14:paraId="40E96E62"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Hypomethylated in LR</w:t>
            </w:r>
          </w:p>
        </w:tc>
      </w:tr>
      <w:tr w:rsidR="00F12921" w:rsidRPr="00F12921" w14:paraId="63FA8F9C" w14:textId="77777777" w:rsidTr="00F12921">
        <w:tc>
          <w:tcPr>
            <w:tcW w:w="50" w:type="dxa"/>
            <w:tcBorders>
              <w:top w:val="outset" w:sz="6" w:space="0" w:color="auto"/>
              <w:left w:val="outset" w:sz="6" w:space="0" w:color="auto"/>
              <w:bottom w:val="outset" w:sz="6" w:space="0" w:color="auto"/>
              <w:right w:val="outset" w:sz="6" w:space="0" w:color="auto"/>
            </w:tcBorders>
            <w:vAlign w:val="center"/>
            <w:hideMark/>
          </w:tcPr>
          <w:p w14:paraId="6995E7DC" w14:textId="77777777" w:rsidR="00F12921" w:rsidRPr="00F12921" w:rsidRDefault="00F12921" w:rsidP="00F12921">
            <w:pPr>
              <w:pStyle w:val="NormalWeb"/>
              <w:spacing w:before="0" w:beforeAutospacing="0" w:after="0" w:afterAutospacing="0"/>
              <w:jc w:val="both"/>
              <w:rPr>
                <w:color w:val="000000"/>
                <w:sz w:val="20"/>
                <w:szCs w:val="20"/>
              </w:rPr>
            </w:pPr>
            <w:r w:rsidRPr="00F12921">
              <w:rPr>
                <w:b/>
                <w:bCs/>
                <w:color w:val="000000"/>
                <w:sz w:val="20"/>
                <w:szCs w:val="20"/>
              </w:rPr>
              <w:t>MX2</w:t>
            </w:r>
          </w:p>
        </w:tc>
        <w:tc>
          <w:tcPr>
            <w:tcW w:w="50" w:type="dxa"/>
            <w:tcBorders>
              <w:top w:val="outset" w:sz="6" w:space="0" w:color="auto"/>
              <w:left w:val="outset" w:sz="6" w:space="0" w:color="auto"/>
              <w:bottom w:val="outset" w:sz="6" w:space="0" w:color="auto"/>
              <w:right w:val="outset" w:sz="6" w:space="0" w:color="auto"/>
            </w:tcBorders>
            <w:vAlign w:val="center"/>
            <w:hideMark/>
          </w:tcPr>
          <w:p w14:paraId="36ECCD19"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Type I interferon response</w:t>
            </w:r>
          </w:p>
        </w:tc>
        <w:tc>
          <w:tcPr>
            <w:tcW w:w="50" w:type="dxa"/>
            <w:tcBorders>
              <w:top w:val="outset" w:sz="6" w:space="0" w:color="auto"/>
              <w:left w:val="outset" w:sz="6" w:space="0" w:color="auto"/>
              <w:bottom w:val="outset" w:sz="6" w:space="0" w:color="auto"/>
              <w:right w:val="outset" w:sz="6" w:space="0" w:color="auto"/>
            </w:tcBorders>
            <w:vAlign w:val="center"/>
            <w:hideMark/>
          </w:tcPr>
          <w:p w14:paraId="3584FA52"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Protects beta cells from enteroviruses.</w:t>
            </w:r>
          </w:p>
        </w:tc>
        <w:tc>
          <w:tcPr>
            <w:tcW w:w="50" w:type="dxa"/>
            <w:tcBorders>
              <w:top w:val="outset" w:sz="6" w:space="0" w:color="auto"/>
              <w:left w:val="outset" w:sz="6" w:space="0" w:color="auto"/>
              <w:bottom w:val="outset" w:sz="6" w:space="0" w:color="auto"/>
              <w:right w:val="outset" w:sz="6" w:space="0" w:color="auto"/>
            </w:tcBorders>
            <w:vAlign w:val="center"/>
            <w:hideMark/>
          </w:tcPr>
          <w:p w14:paraId="4983E525"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Hypermethylated in HR</w:t>
            </w:r>
          </w:p>
        </w:tc>
      </w:tr>
      <w:tr w:rsidR="00F12921" w:rsidRPr="00F12921" w14:paraId="3418B2FD" w14:textId="77777777" w:rsidTr="00F12921">
        <w:tc>
          <w:tcPr>
            <w:tcW w:w="50" w:type="dxa"/>
            <w:tcBorders>
              <w:top w:val="outset" w:sz="6" w:space="0" w:color="auto"/>
              <w:left w:val="outset" w:sz="6" w:space="0" w:color="auto"/>
              <w:bottom w:val="outset" w:sz="6" w:space="0" w:color="auto"/>
              <w:right w:val="outset" w:sz="6" w:space="0" w:color="auto"/>
            </w:tcBorders>
            <w:vAlign w:val="center"/>
            <w:hideMark/>
          </w:tcPr>
          <w:p w14:paraId="1E644557" w14:textId="77777777" w:rsidR="00F12921" w:rsidRPr="00F12921" w:rsidRDefault="00F12921" w:rsidP="00F12921">
            <w:pPr>
              <w:pStyle w:val="NormalWeb"/>
              <w:spacing w:before="0" w:beforeAutospacing="0" w:after="0" w:afterAutospacing="0"/>
              <w:jc w:val="both"/>
              <w:rPr>
                <w:color w:val="000000"/>
                <w:sz w:val="20"/>
                <w:szCs w:val="20"/>
              </w:rPr>
            </w:pPr>
            <w:r w:rsidRPr="00F12921">
              <w:rPr>
                <w:b/>
                <w:bCs/>
                <w:color w:val="000000"/>
                <w:sz w:val="20"/>
                <w:szCs w:val="20"/>
              </w:rPr>
              <w:t>ITGA9</w:t>
            </w:r>
          </w:p>
        </w:tc>
        <w:tc>
          <w:tcPr>
            <w:tcW w:w="50" w:type="dxa"/>
            <w:tcBorders>
              <w:top w:val="outset" w:sz="6" w:space="0" w:color="auto"/>
              <w:left w:val="outset" w:sz="6" w:space="0" w:color="auto"/>
              <w:bottom w:val="outset" w:sz="6" w:space="0" w:color="auto"/>
              <w:right w:val="outset" w:sz="6" w:space="0" w:color="auto"/>
            </w:tcBorders>
            <w:vAlign w:val="center"/>
            <w:hideMark/>
          </w:tcPr>
          <w:p w14:paraId="07C4E324"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Inflammatory signaling</w:t>
            </w:r>
          </w:p>
        </w:tc>
        <w:tc>
          <w:tcPr>
            <w:tcW w:w="50" w:type="dxa"/>
            <w:tcBorders>
              <w:top w:val="outset" w:sz="6" w:space="0" w:color="auto"/>
              <w:left w:val="outset" w:sz="6" w:space="0" w:color="auto"/>
              <w:bottom w:val="outset" w:sz="6" w:space="0" w:color="auto"/>
              <w:right w:val="outset" w:sz="6" w:space="0" w:color="auto"/>
            </w:tcBorders>
            <w:vAlign w:val="center"/>
            <w:hideMark/>
          </w:tcPr>
          <w:p w14:paraId="274A88F6"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Mediates inflammatory insulin resistance in muscle/adipose tissue.</w:t>
            </w:r>
          </w:p>
        </w:tc>
        <w:tc>
          <w:tcPr>
            <w:tcW w:w="50" w:type="dxa"/>
            <w:tcBorders>
              <w:top w:val="outset" w:sz="6" w:space="0" w:color="auto"/>
              <w:left w:val="outset" w:sz="6" w:space="0" w:color="auto"/>
              <w:bottom w:val="outset" w:sz="6" w:space="0" w:color="auto"/>
              <w:right w:val="outset" w:sz="6" w:space="0" w:color="auto"/>
            </w:tcBorders>
            <w:vAlign w:val="center"/>
            <w:hideMark/>
          </w:tcPr>
          <w:p w14:paraId="717517A3"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Hypermethylated in LR</w:t>
            </w:r>
          </w:p>
        </w:tc>
      </w:tr>
      <w:tr w:rsidR="00F12921" w:rsidRPr="00F12921" w14:paraId="539B0C0F" w14:textId="77777777" w:rsidTr="00F12921">
        <w:tc>
          <w:tcPr>
            <w:tcW w:w="50" w:type="dxa"/>
            <w:tcBorders>
              <w:top w:val="outset" w:sz="6" w:space="0" w:color="auto"/>
              <w:left w:val="outset" w:sz="6" w:space="0" w:color="auto"/>
              <w:bottom w:val="outset" w:sz="6" w:space="0" w:color="auto"/>
              <w:right w:val="outset" w:sz="6" w:space="0" w:color="auto"/>
            </w:tcBorders>
            <w:vAlign w:val="center"/>
            <w:hideMark/>
          </w:tcPr>
          <w:p w14:paraId="3297679B" w14:textId="77777777" w:rsidR="00F12921" w:rsidRPr="00F12921" w:rsidRDefault="00F12921" w:rsidP="00F12921">
            <w:pPr>
              <w:pStyle w:val="NormalWeb"/>
              <w:spacing w:before="0" w:beforeAutospacing="0" w:after="0" w:afterAutospacing="0"/>
              <w:jc w:val="both"/>
              <w:rPr>
                <w:color w:val="000000"/>
                <w:sz w:val="20"/>
                <w:szCs w:val="20"/>
              </w:rPr>
            </w:pPr>
            <w:r w:rsidRPr="00F12921">
              <w:rPr>
                <w:b/>
                <w:bCs/>
                <w:color w:val="000000"/>
                <w:sz w:val="20"/>
                <w:szCs w:val="20"/>
              </w:rPr>
              <w:t>ITPK1</w:t>
            </w:r>
          </w:p>
        </w:tc>
        <w:tc>
          <w:tcPr>
            <w:tcW w:w="50" w:type="dxa"/>
            <w:tcBorders>
              <w:top w:val="outset" w:sz="6" w:space="0" w:color="auto"/>
              <w:left w:val="outset" w:sz="6" w:space="0" w:color="auto"/>
              <w:bottom w:val="outset" w:sz="6" w:space="0" w:color="auto"/>
              <w:right w:val="outset" w:sz="6" w:space="0" w:color="auto"/>
            </w:tcBorders>
            <w:vAlign w:val="center"/>
            <w:hideMark/>
          </w:tcPr>
          <w:p w14:paraId="756E7B06"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Insulin signaling</w:t>
            </w:r>
          </w:p>
        </w:tc>
        <w:tc>
          <w:tcPr>
            <w:tcW w:w="50" w:type="dxa"/>
            <w:tcBorders>
              <w:top w:val="outset" w:sz="6" w:space="0" w:color="auto"/>
              <w:left w:val="outset" w:sz="6" w:space="0" w:color="auto"/>
              <w:bottom w:val="outset" w:sz="6" w:space="0" w:color="auto"/>
              <w:right w:val="outset" w:sz="6" w:space="0" w:color="auto"/>
            </w:tcBorders>
            <w:vAlign w:val="center"/>
            <w:hideMark/>
          </w:tcPr>
          <w:p w14:paraId="2A728D97"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Regulates AKT1 activation and beta-cell mass/secretion.</w:t>
            </w:r>
          </w:p>
        </w:tc>
        <w:tc>
          <w:tcPr>
            <w:tcW w:w="50" w:type="dxa"/>
            <w:tcBorders>
              <w:top w:val="outset" w:sz="6" w:space="0" w:color="auto"/>
              <w:left w:val="outset" w:sz="6" w:space="0" w:color="auto"/>
              <w:bottom w:val="outset" w:sz="6" w:space="0" w:color="auto"/>
              <w:right w:val="outset" w:sz="6" w:space="0" w:color="auto"/>
            </w:tcBorders>
            <w:vAlign w:val="center"/>
            <w:hideMark/>
          </w:tcPr>
          <w:p w14:paraId="07AEAFCD"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Hypermethylated in LR</w:t>
            </w:r>
          </w:p>
        </w:tc>
      </w:tr>
      <w:tr w:rsidR="00F12921" w:rsidRPr="00F12921" w14:paraId="11262C9A" w14:textId="77777777" w:rsidTr="00F12921">
        <w:tc>
          <w:tcPr>
            <w:tcW w:w="50" w:type="dxa"/>
            <w:tcBorders>
              <w:top w:val="outset" w:sz="6" w:space="0" w:color="auto"/>
              <w:left w:val="outset" w:sz="6" w:space="0" w:color="auto"/>
              <w:bottom w:val="outset" w:sz="6" w:space="0" w:color="auto"/>
              <w:right w:val="outset" w:sz="6" w:space="0" w:color="auto"/>
            </w:tcBorders>
            <w:vAlign w:val="center"/>
            <w:hideMark/>
          </w:tcPr>
          <w:p w14:paraId="7E2A8B50" w14:textId="77777777" w:rsidR="00F12921" w:rsidRPr="00F12921" w:rsidRDefault="00F12921" w:rsidP="00F12921">
            <w:pPr>
              <w:pStyle w:val="NormalWeb"/>
              <w:spacing w:before="0" w:beforeAutospacing="0" w:after="0" w:afterAutospacing="0"/>
              <w:jc w:val="both"/>
              <w:rPr>
                <w:color w:val="000000"/>
                <w:sz w:val="20"/>
                <w:szCs w:val="20"/>
              </w:rPr>
            </w:pPr>
            <w:r w:rsidRPr="00F12921">
              <w:rPr>
                <w:b/>
                <w:bCs/>
                <w:color w:val="000000"/>
                <w:sz w:val="20"/>
                <w:szCs w:val="20"/>
              </w:rPr>
              <w:t>PTPN22</w:t>
            </w:r>
          </w:p>
        </w:tc>
        <w:tc>
          <w:tcPr>
            <w:tcW w:w="50" w:type="dxa"/>
            <w:tcBorders>
              <w:top w:val="outset" w:sz="6" w:space="0" w:color="auto"/>
              <w:left w:val="outset" w:sz="6" w:space="0" w:color="auto"/>
              <w:bottom w:val="outset" w:sz="6" w:space="0" w:color="auto"/>
              <w:right w:val="outset" w:sz="6" w:space="0" w:color="auto"/>
            </w:tcBorders>
            <w:vAlign w:val="center"/>
            <w:hideMark/>
          </w:tcPr>
          <w:p w14:paraId="412F8388"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T-cell signaling</w:t>
            </w:r>
          </w:p>
        </w:tc>
        <w:tc>
          <w:tcPr>
            <w:tcW w:w="50" w:type="dxa"/>
            <w:tcBorders>
              <w:top w:val="outset" w:sz="6" w:space="0" w:color="auto"/>
              <w:left w:val="outset" w:sz="6" w:space="0" w:color="auto"/>
              <w:bottom w:val="outset" w:sz="6" w:space="0" w:color="auto"/>
              <w:right w:val="outset" w:sz="6" w:space="0" w:color="auto"/>
            </w:tcBorders>
            <w:vAlign w:val="center"/>
            <w:hideMark/>
          </w:tcPr>
          <w:p w14:paraId="56D5E1D4"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Negative regulator of T-cell activation; T1D/T2D susceptibility.</w:t>
            </w:r>
          </w:p>
        </w:tc>
        <w:tc>
          <w:tcPr>
            <w:tcW w:w="50" w:type="dxa"/>
            <w:tcBorders>
              <w:top w:val="outset" w:sz="6" w:space="0" w:color="auto"/>
              <w:left w:val="outset" w:sz="6" w:space="0" w:color="auto"/>
              <w:bottom w:val="outset" w:sz="6" w:space="0" w:color="auto"/>
              <w:right w:val="outset" w:sz="6" w:space="0" w:color="auto"/>
            </w:tcBorders>
            <w:vAlign w:val="center"/>
            <w:hideMark/>
          </w:tcPr>
          <w:p w14:paraId="664571A8"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Hypermethylated in HR</w:t>
            </w:r>
          </w:p>
        </w:tc>
      </w:tr>
      <w:tr w:rsidR="00F12921" w:rsidRPr="00F12921" w14:paraId="2A5029CC" w14:textId="77777777" w:rsidTr="00F12921">
        <w:tc>
          <w:tcPr>
            <w:tcW w:w="50" w:type="dxa"/>
            <w:tcBorders>
              <w:top w:val="outset" w:sz="6" w:space="0" w:color="auto"/>
              <w:left w:val="outset" w:sz="6" w:space="0" w:color="auto"/>
              <w:bottom w:val="outset" w:sz="6" w:space="0" w:color="auto"/>
              <w:right w:val="outset" w:sz="6" w:space="0" w:color="auto"/>
            </w:tcBorders>
            <w:vAlign w:val="center"/>
            <w:hideMark/>
          </w:tcPr>
          <w:p w14:paraId="0089B903" w14:textId="77777777" w:rsidR="00F12921" w:rsidRPr="00F12921" w:rsidRDefault="00F12921" w:rsidP="00F12921">
            <w:pPr>
              <w:pStyle w:val="NormalWeb"/>
              <w:spacing w:before="0" w:beforeAutospacing="0" w:after="0" w:afterAutospacing="0"/>
              <w:jc w:val="both"/>
              <w:rPr>
                <w:color w:val="000000"/>
                <w:sz w:val="20"/>
                <w:szCs w:val="20"/>
              </w:rPr>
            </w:pPr>
            <w:r w:rsidRPr="00F12921">
              <w:rPr>
                <w:b/>
                <w:bCs/>
                <w:color w:val="000000"/>
                <w:sz w:val="20"/>
                <w:szCs w:val="20"/>
              </w:rPr>
              <w:t>CASQ1</w:t>
            </w:r>
          </w:p>
        </w:tc>
        <w:tc>
          <w:tcPr>
            <w:tcW w:w="50" w:type="dxa"/>
            <w:tcBorders>
              <w:top w:val="outset" w:sz="6" w:space="0" w:color="auto"/>
              <w:left w:val="outset" w:sz="6" w:space="0" w:color="auto"/>
              <w:bottom w:val="outset" w:sz="6" w:space="0" w:color="auto"/>
              <w:right w:val="outset" w:sz="6" w:space="0" w:color="auto"/>
            </w:tcBorders>
            <w:vAlign w:val="center"/>
            <w:hideMark/>
          </w:tcPr>
          <w:p w14:paraId="3E8B49E2"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Calcium handling</w:t>
            </w:r>
          </w:p>
        </w:tc>
        <w:tc>
          <w:tcPr>
            <w:tcW w:w="50" w:type="dxa"/>
            <w:tcBorders>
              <w:top w:val="outset" w:sz="6" w:space="0" w:color="auto"/>
              <w:left w:val="outset" w:sz="6" w:space="0" w:color="auto"/>
              <w:bottom w:val="outset" w:sz="6" w:space="0" w:color="auto"/>
              <w:right w:val="outset" w:sz="6" w:space="0" w:color="auto"/>
            </w:tcBorders>
            <w:vAlign w:val="center"/>
            <w:hideMark/>
          </w:tcPr>
          <w:p w14:paraId="009E39E0"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Regulates Ca2+ storage/release; influences beta-cell excitability.</w:t>
            </w:r>
          </w:p>
        </w:tc>
        <w:tc>
          <w:tcPr>
            <w:tcW w:w="50" w:type="dxa"/>
            <w:tcBorders>
              <w:top w:val="outset" w:sz="6" w:space="0" w:color="auto"/>
              <w:left w:val="outset" w:sz="6" w:space="0" w:color="auto"/>
              <w:bottom w:val="outset" w:sz="6" w:space="0" w:color="auto"/>
              <w:right w:val="outset" w:sz="6" w:space="0" w:color="auto"/>
            </w:tcBorders>
            <w:vAlign w:val="center"/>
            <w:hideMark/>
          </w:tcPr>
          <w:p w14:paraId="511EEBFD"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Hypomethylated in LR</w:t>
            </w:r>
          </w:p>
        </w:tc>
      </w:tr>
    </w:tbl>
    <w:p w14:paraId="653A438F" w14:textId="77777777" w:rsidR="00F12921" w:rsidRPr="00F12921" w:rsidRDefault="00F12921" w:rsidP="00F12921">
      <w:pPr>
        <w:pStyle w:val="Heading2"/>
        <w:spacing w:before="0" w:after="0"/>
        <w:jc w:val="both"/>
        <w:rPr>
          <w:rFonts w:ascii="Times New Roman" w:hAnsi="Times New Roman" w:cs="Times New Roman"/>
          <w:b/>
          <w:bCs/>
          <w:color w:val="000000"/>
          <w:sz w:val="20"/>
          <w:szCs w:val="20"/>
        </w:rPr>
      </w:pPr>
      <w:r w:rsidRPr="00F12921">
        <w:rPr>
          <w:rFonts w:ascii="Times New Roman" w:hAnsi="Times New Roman" w:cs="Times New Roman"/>
          <w:b/>
          <w:bCs/>
          <w:color w:val="000000"/>
          <w:sz w:val="20"/>
          <w:szCs w:val="20"/>
        </w:rPr>
        <w:lastRenderedPageBreak/>
        <w:t>Functional Consistency Across Biological Layers</w:t>
      </w:r>
    </w:p>
    <w:p w14:paraId="073EA5AF"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The study validated epigenetic findings through proteomic analysis of serum collected at birth. This cross-layer analysis confirmed:</w:t>
      </w:r>
    </w:p>
    <w:p w14:paraId="0966F129" w14:textId="77777777" w:rsidR="00F12921" w:rsidRPr="00F12921" w:rsidRDefault="00F12921" w:rsidP="00F12921">
      <w:pPr>
        <w:numPr>
          <w:ilvl w:val="0"/>
          <w:numId w:val="89"/>
        </w:numPr>
        <w:jc w:val="both"/>
        <w:rPr>
          <w:color w:val="000000"/>
          <w:sz w:val="20"/>
          <w:szCs w:val="20"/>
        </w:rPr>
      </w:pPr>
      <w:r w:rsidRPr="00F12921">
        <w:rPr>
          <w:b/>
          <w:bCs/>
          <w:color w:val="000000"/>
          <w:sz w:val="20"/>
          <w:szCs w:val="20"/>
        </w:rPr>
        <w:t>HR Carriers:</w:t>
      </w:r>
      <w:r w:rsidRPr="00F12921">
        <w:rPr>
          <w:rStyle w:val="apple-converted-space"/>
          <w:rFonts w:eastAsiaTheme="majorEastAsia"/>
          <w:color w:val="000000"/>
          <w:sz w:val="20"/>
          <w:szCs w:val="20"/>
        </w:rPr>
        <w:t> </w:t>
      </w:r>
      <w:r w:rsidRPr="00F12921">
        <w:rPr>
          <w:color w:val="000000"/>
          <w:sz w:val="20"/>
          <w:szCs w:val="20"/>
        </w:rPr>
        <w:t>Serum protein levels were associated with immune signaling and regulation.</w:t>
      </w:r>
    </w:p>
    <w:p w14:paraId="4D3E696A" w14:textId="77777777" w:rsidR="00F12921" w:rsidRPr="00F12921" w:rsidRDefault="00F12921" w:rsidP="00F12921">
      <w:pPr>
        <w:numPr>
          <w:ilvl w:val="0"/>
          <w:numId w:val="89"/>
        </w:numPr>
        <w:jc w:val="both"/>
        <w:rPr>
          <w:color w:val="000000"/>
          <w:sz w:val="20"/>
          <w:szCs w:val="20"/>
        </w:rPr>
      </w:pPr>
      <w:r w:rsidRPr="00F12921">
        <w:rPr>
          <w:b/>
          <w:bCs/>
          <w:color w:val="000000"/>
          <w:sz w:val="20"/>
          <w:szCs w:val="20"/>
        </w:rPr>
        <w:t>LR Carriers:</w:t>
      </w:r>
      <w:r w:rsidRPr="00F12921">
        <w:rPr>
          <w:rStyle w:val="apple-converted-space"/>
          <w:rFonts w:eastAsiaTheme="majorEastAsia"/>
          <w:color w:val="000000"/>
          <w:sz w:val="20"/>
          <w:szCs w:val="20"/>
        </w:rPr>
        <w:t> </w:t>
      </w:r>
      <w:r w:rsidRPr="00F12921">
        <w:rPr>
          <w:color w:val="000000"/>
          <w:sz w:val="20"/>
          <w:szCs w:val="20"/>
        </w:rPr>
        <w:t>Serum proteins were linked to glucose and lipid metabolism, endoplasmic reticulum (ER) stress responses, and cellular survival.</w:t>
      </w:r>
    </w:p>
    <w:p w14:paraId="6E5EF833"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This consistency between DNA methylation and downstream protein levels reinforces the conclusion that biological heterogeneity in T1D is present at birth and is heavily influenced by the genetic HLA background.</w:t>
      </w:r>
    </w:p>
    <w:p w14:paraId="4AFD597B" w14:textId="77777777" w:rsidR="00F12921" w:rsidRPr="00F12921" w:rsidRDefault="00F12921" w:rsidP="00F12921">
      <w:pPr>
        <w:pStyle w:val="Heading2"/>
        <w:spacing w:before="0" w:after="0"/>
        <w:jc w:val="both"/>
        <w:rPr>
          <w:rFonts w:ascii="Times New Roman" w:hAnsi="Times New Roman" w:cs="Times New Roman"/>
          <w:b/>
          <w:bCs/>
          <w:color w:val="000000"/>
          <w:sz w:val="20"/>
          <w:szCs w:val="20"/>
        </w:rPr>
      </w:pPr>
      <w:r w:rsidRPr="00F12921">
        <w:rPr>
          <w:rFonts w:ascii="Times New Roman" w:hAnsi="Times New Roman" w:cs="Times New Roman"/>
          <w:b/>
          <w:bCs/>
          <w:color w:val="000000"/>
          <w:sz w:val="20"/>
          <w:szCs w:val="20"/>
        </w:rPr>
        <w:t>Conclusion: A New Framework for T1D Etiology</w:t>
      </w:r>
    </w:p>
    <w:p w14:paraId="745E980D"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The evidence suggests that Type 1 Diabetes is not a monolith but a disease with at least two distinct early-life pathways:</w:t>
      </w:r>
    </w:p>
    <w:p w14:paraId="6BFC18CA" w14:textId="77777777" w:rsidR="00F12921" w:rsidRPr="00F12921" w:rsidRDefault="00F12921" w:rsidP="00F12921">
      <w:pPr>
        <w:numPr>
          <w:ilvl w:val="0"/>
          <w:numId w:val="90"/>
        </w:numPr>
        <w:jc w:val="both"/>
        <w:rPr>
          <w:color w:val="000000"/>
          <w:sz w:val="20"/>
          <w:szCs w:val="20"/>
        </w:rPr>
      </w:pPr>
      <w:r w:rsidRPr="00F12921">
        <w:rPr>
          <w:b/>
          <w:bCs/>
          <w:color w:val="000000"/>
          <w:sz w:val="20"/>
          <w:szCs w:val="20"/>
        </w:rPr>
        <w:t>The Autoimmune Route:</w:t>
      </w:r>
      <w:r w:rsidRPr="00F12921">
        <w:rPr>
          <w:rStyle w:val="apple-converted-space"/>
          <w:rFonts w:eastAsiaTheme="majorEastAsia"/>
          <w:color w:val="000000"/>
          <w:sz w:val="20"/>
          <w:szCs w:val="20"/>
        </w:rPr>
        <w:t> </w:t>
      </w:r>
      <w:r w:rsidRPr="00F12921">
        <w:rPr>
          <w:color w:val="000000"/>
          <w:sz w:val="20"/>
          <w:szCs w:val="20"/>
        </w:rPr>
        <w:t>Driven by high-risk HLA genotypes and characterized by immune-related epigenetic changes that mirror other autoimmune conditions.</w:t>
      </w:r>
    </w:p>
    <w:p w14:paraId="414FF724" w14:textId="77777777" w:rsidR="00F12921" w:rsidRPr="00F12921" w:rsidRDefault="00F12921" w:rsidP="00F12921">
      <w:pPr>
        <w:numPr>
          <w:ilvl w:val="0"/>
          <w:numId w:val="90"/>
        </w:numPr>
        <w:jc w:val="both"/>
        <w:rPr>
          <w:color w:val="000000"/>
          <w:sz w:val="20"/>
          <w:szCs w:val="20"/>
        </w:rPr>
      </w:pPr>
      <w:r w:rsidRPr="00F12921">
        <w:rPr>
          <w:b/>
          <w:bCs/>
          <w:color w:val="000000"/>
          <w:sz w:val="20"/>
          <w:szCs w:val="20"/>
        </w:rPr>
        <w:t>The Metabolic/Stress Route:</w:t>
      </w:r>
      <w:r w:rsidRPr="00F12921">
        <w:rPr>
          <w:rStyle w:val="apple-converted-space"/>
          <w:rFonts w:eastAsiaTheme="majorEastAsia"/>
          <w:color w:val="000000"/>
          <w:sz w:val="20"/>
          <w:szCs w:val="20"/>
        </w:rPr>
        <w:t> </w:t>
      </w:r>
      <w:r w:rsidRPr="00F12921">
        <w:rPr>
          <w:color w:val="000000"/>
          <w:sz w:val="20"/>
          <w:szCs w:val="20"/>
        </w:rPr>
        <w:t>Driven by beta-cell stress and metabolic dysfunction, appearing in individuals without high-risk HLA alleles, and mimicking mechanisms of Type 2 Diabetes.</w:t>
      </w:r>
    </w:p>
    <w:p w14:paraId="33C9005D" w14:textId="77777777" w:rsidR="00F12921" w:rsidRPr="00F12921" w:rsidRDefault="00F12921" w:rsidP="00F12921">
      <w:pPr>
        <w:pStyle w:val="NormalWeb"/>
        <w:spacing w:before="0" w:beforeAutospacing="0" w:after="0" w:afterAutospacing="0"/>
        <w:jc w:val="both"/>
        <w:rPr>
          <w:color w:val="000000"/>
          <w:sz w:val="20"/>
          <w:szCs w:val="20"/>
        </w:rPr>
      </w:pPr>
      <w:r w:rsidRPr="00F12921">
        <w:rPr>
          <w:color w:val="000000"/>
          <w:sz w:val="20"/>
          <w:szCs w:val="20"/>
        </w:rPr>
        <w:t>This established background at birth dictates whether an individual's path to T1D is driven by an autoimmune or a non-autoimmune mechanism, with prenatal factors like maternal lifestyle and infection history serving as critical modifiers of these genetic and epigenetic predispositions.</w:t>
      </w:r>
    </w:p>
    <w:p w14:paraId="2B8C0154" w14:textId="77777777" w:rsidR="00F12921" w:rsidRDefault="00F12921" w:rsidP="00F12921">
      <w:pPr>
        <w:rPr>
          <w:b/>
          <w:bCs/>
          <w:color w:val="131314"/>
          <w:sz w:val="20"/>
          <w:szCs w:val="20"/>
        </w:rPr>
      </w:pPr>
    </w:p>
    <w:sectPr w:rsidR="00F12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A31"/>
    <w:multiLevelType w:val="multilevel"/>
    <w:tmpl w:val="7248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3175D"/>
    <w:multiLevelType w:val="multilevel"/>
    <w:tmpl w:val="0E90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C2970"/>
    <w:multiLevelType w:val="hybridMultilevel"/>
    <w:tmpl w:val="78D02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4F108A"/>
    <w:multiLevelType w:val="multilevel"/>
    <w:tmpl w:val="73EC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F00C5"/>
    <w:multiLevelType w:val="multilevel"/>
    <w:tmpl w:val="79C88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C0B31"/>
    <w:multiLevelType w:val="multilevel"/>
    <w:tmpl w:val="3036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B30DF"/>
    <w:multiLevelType w:val="multilevel"/>
    <w:tmpl w:val="17B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9B1FED"/>
    <w:multiLevelType w:val="multilevel"/>
    <w:tmpl w:val="E914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BE15C6"/>
    <w:multiLevelType w:val="multilevel"/>
    <w:tmpl w:val="F820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C93BED"/>
    <w:multiLevelType w:val="multilevel"/>
    <w:tmpl w:val="77BCD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DA03D3"/>
    <w:multiLevelType w:val="multilevel"/>
    <w:tmpl w:val="BDE6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C45D5"/>
    <w:multiLevelType w:val="multilevel"/>
    <w:tmpl w:val="8D3E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D0EEA"/>
    <w:multiLevelType w:val="multilevel"/>
    <w:tmpl w:val="B3A41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18139E"/>
    <w:multiLevelType w:val="multilevel"/>
    <w:tmpl w:val="B456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3F782E"/>
    <w:multiLevelType w:val="hybridMultilevel"/>
    <w:tmpl w:val="8E7E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C1587B"/>
    <w:multiLevelType w:val="multilevel"/>
    <w:tmpl w:val="4E8A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626E9C"/>
    <w:multiLevelType w:val="multilevel"/>
    <w:tmpl w:val="62C6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C77FEE"/>
    <w:multiLevelType w:val="multilevel"/>
    <w:tmpl w:val="2A82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292E50"/>
    <w:multiLevelType w:val="multilevel"/>
    <w:tmpl w:val="CF34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B80FDF"/>
    <w:multiLevelType w:val="multilevel"/>
    <w:tmpl w:val="08A2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C63CEF"/>
    <w:multiLevelType w:val="multilevel"/>
    <w:tmpl w:val="AD14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FC70A3"/>
    <w:multiLevelType w:val="multilevel"/>
    <w:tmpl w:val="94EC92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1FD72C50"/>
    <w:multiLevelType w:val="multilevel"/>
    <w:tmpl w:val="87E6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62188B"/>
    <w:multiLevelType w:val="multilevel"/>
    <w:tmpl w:val="7888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F46581"/>
    <w:multiLevelType w:val="multilevel"/>
    <w:tmpl w:val="BEBC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BF4E7D"/>
    <w:multiLevelType w:val="hybridMultilevel"/>
    <w:tmpl w:val="C48A615E"/>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26" w15:restartNumberingAfterBreak="0">
    <w:nsid w:val="2ADF5A76"/>
    <w:multiLevelType w:val="multilevel"/>
    <w:tmpl w:val="3E2A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637AED"/>
    <w:multiLevelType w:val="multilevel"/>
    <w:tmpl w:val="54FA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A52854"/>
    <w:multiLevelType w:val="hybridMultilevel"/>
    <w:tmpl w:val="B81CB9F6"/>
    <w:lvl w:ilvl="0" w:tplc="94748E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E07B84"/>
    <w:multiLevelType w:val="multilevel"/>
    <w:tmpl w:val="967A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21631B"/>
    <w:multiLevelType w:val="multilevel"/>
    <w:tmpl w:val="972E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425007"/>
    <w:multiLevelType w:val="multilevel"/>
    <w:tmpl w:val="E214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AC2666"/>
    <w:multiLevelType w:val="multilevel"/>
    <w:tmpl w:val="B1EC3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AA06F4"/>
    <w:multiLevelType w:val="multilevel"/>
    <w:tmpl w:val="C5CCD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3424BA"/>
    <w:multiLevelType w:val="multilevel"/>
    <w:tmpl w:val="3E94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831DA5"/>
    <w:multiLevelType w:val="multilevel"/>
    <w:tmpl w:val="F9A8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A04F7E"/>
    <w:multiLevelType w:val="multilevel"/>
    <w:tmpl w:val="C41E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5441BC"/>
    <w:multiLevelType w:val="hybridMultilevel"/>
    <w:tmpl w:val="A038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846734"/>
    <w:multiLevelType w:val="multilevel"/>
    <w:tmpl w:val="1670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40708F"/>
    <w:multiLevelType w:val="multilevel"/>
    <w:tmpl w:val="D2A6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CC022F"/>
    <w:multiLevelType w:val="multilevel"/>
    <w:tmpl w:val="0C22E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CA1B2B"/>
    <w:multiLevelType w:val="multilevel"/>
    <w:tmpl w:val="0992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044A17"/>
    <w:multiLevelType w:val="multilevel"/>
    <w:tmpl w:val="0FB6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A86612"/>
    <w:multiLevelType w:val="hybridMultilevel"/>
    <w:tmpl w:val="3F06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D751B9"/>
    <w:multiLevelType w:val="multilevel"/>
    <w:tmpl w:val="D08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A24559"/>
    <w:multiLevelType w:val="multilevel"/>
    <w:tmpl w:val="7752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CB48AD"/>
    <w:multiLevelType w:val="multilevel"/>
    <w:tmpl w:val="CBD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1F2EFD"/>
    <w:multiLevelType w:val="hybridMultilevel"/>
    <w:tmpl w:val="899C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C91B51"/>
    <w:multiLevelType w:val="multilevel"/>
    <w:tmpl w:val="387C4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627B42"/>
    <w:multiLevelType w:val="multilevel"/>
    <w:tmpl w:val="BCCE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9C3A5D"/>
    <w:multiLevelType w:val="multilevel"/>
    <w:tmpl w:val="6AF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BE49FE"/>
    <w:multiLevelType w:val="multilevel"/>
    <w:tmpl w:val="B2D6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9574C7"/>
    <w:multiLevelType w:val="multilevel"/>
    <w:tmpl w:val="839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206B8A"/>
    <w:multiLevelType w:val="multilevel"/>
    <w:tmpl w:val="B986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FD46C3"/>
    <w:multiLevelType w:val="multilevel"/>
    <w:tmpl w:val="BECC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15476D"/>
    <w:multiLevelType w:val="multilevel"/>
    <w:tmpl w:val="A6BE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064A14"/>
    <w:multiLevelType w:val="multilevel"/>
    <w:tmpl w:val="5276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066A2B"/>
    <w:multiLevelType w:val="multilevel"/>
    <w:tmpl w:val="916C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D21E68"/>
    <w:multiLevelType w:val="multilevel"/>
    <w:tmpl w:val="7D664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102C06"/>
    <w:multiLevelType w:val="multilevel"/>
    <w:tmpl w:val="3104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947756"/>
    <w:multiLevelType w:val="multilevel"/>
    <w:tmpl w:val="C1F2E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03D6153"/>
    <w:multiLevelType w:val="hybridMultilevel"/>
    <w:tmpl w:val="F150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6D76A9"/>
    <w:multiLevelType w:val="multilevel"/>
    <w:tmpl w:val="0D6E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44041D"/>
    <w:multiLevelType w:val="multilevel"/>
    <w:tmpl w:val="026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BC2539"/>
    <w:multiLevelType w:val="multilevel"/>
    <w:tmpl w:val="637E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8F2550"/>
    <w:multiLevelType w:val="hybridMultilevel"/>
    <w:tmpl w:val="7398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F731C2"/>
    <w:multiLevelType w:val="multilevel"/>
    <w:tmpl w:val="2DC6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FA6A19"/>
    <w:multiLevelType w:val="multilevel"/>
    <w:tmpl w:val="F87C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2445C9"/>
    <w:multiLevelType w:val="multilevel"/>
    <w:tmpl w:val="C0E8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467A72"/>
    <w:multiLevelType w:val="multilevel"/>
    <w:tmpl w:val="6B4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981DE5"/>
    <w:multiLevelType w:val="multilevel"/>
    <w:tmpl w:val="043A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D40AD5"/>
    <w:multiLevelType w:val="multilevel"/>
    <w:tmpl w:val="90C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C473211"/>
    <w:multiLevelType w:val="multilevel"/>
    <w:tmpl w:val="E73E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8E6251"/>
    <w:multiLevelType w:val="multilevel"/>
    <w:tmpl w:val="FAC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B8165E"/>
    <w:multiLevelType w:val="multilevel"/>
    <w:tmpl w:val="AD5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FF2FF6"/>
    <w:multiLevelType w:val="multilevel"/>
    <w:tmpl w:val="4A147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C200CE"/>
    <w:multiLevelType w:val="hybridMultilevel"/>
    <w:tmpl w:val="F488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F503BF"/>
    <w:multiLevelType w:val="multilevel"/>
    <w:tmpl w:val="D54C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7234EF"/>
    <w:multiLevelType w:val="multilevel"/>
    <w:tmpl w:val="C58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E15F3E"/>
    <w:multiLevelType w:val="multilevel"/>
    <w:tmpl w:val="4FCC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6F1FDD"/>
    <w:multiLevelType w:val="multilevel"/>
    <w:tmpl w:val="31E4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194CAA"/>
    <w:multiLevelType w:val="multilevel"/>
    <w:tmpl w:val="D91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C45E49"/>
    <w:multiLevelType w:val="multilevel"/>
    <w:tmpl w:val="E0804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6B5663"/>
    <w:multiLevelType w:val="multilevel"/>
    <w:tmpl w:val="BB96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967E66"/>
    <w:multiLevelType w:val="multilevel"/>
    <w:tmpl w:val="C044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9968D0"/>
    <w:multiLevelType w:val="multilevel"/>
    <w:tmpl w:val="7D36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9D0095"/>
    <w:multiLevelType w:val="multilevel"/>
    <w:tmpl w:val="0DA2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DF4525"/>
    <w:multiLevelType w:val="multilevel"/>
    <w:tmpl w:val="99D4E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0B3A73"/>
    <w:multiLevelType w:val="hybridMultilevel"/>
    <w:tmpl w:val="0740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236AC7"/>
    <w:multiLevelType w:val="multilevel"/>
    <w:tmpl w:val="6584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254067">
    <w:abstractNumId w:val="43"/>
  </w:num>
  <w:num w:numId="2" w16cid:durableId="1990866663">
    <w:abstractNumId w:val="88"/>
  </w:num>
  <w:num w:numId="3" w16cid:durableId="1083834980">
    <w:abstractNumId w:val="76"/>
  </w:num>
  <w:num w:numId="4" w16cid:durableId="1104958541">
    <w:abstractNumId w:val="65"/>
  </w:num>
  <w:num w:numId="5" w16cid:durableId="1302538259">
    <w:abstractNumId w:val="25"/>
  </w:num>
  <w:num w:numId="6" w16cid:durableId="1689480912">
    <w:abstractNumId w:val="2"/>
  </w:num>
  <w:num w:numId="7" w16cid:durableId="1123619722">
    <w:abstractNumId w:val="37"/>
  </w:num>
  <w:num w:numId="8" w16cid:durableId="841704486">
    <w:abstractNumId w:val="61"/>
  </w:num>
  <w:num w:numId="9" w16cid:durableId="358552443">
    <w:abstractNumId w:val="14"/>
  </w:num>
  <w:num w:numId="10" w16cid:durableId="1909220594">
    <w:abstractNumId w:val="15"/>
  </w:num>
  <w:num w:numId="11" w16cid:durableId="1843932236">
    <w:abstractNumId w:val="62"/>
  </w:num>
  <w:num w:numId="12" w16cid:durableId="859390183">
    <w:abstractNumId w:val="10"/>
  </w:num>
  <w:num w:numId="13" w16cid:durableId="1802503735">
    <w:abstractNumId w:val="19"/>
  </w:num>
  <w:num w:numId="14" w16cid:durableId="877936301">
    <w:abstractNumId w:val="28"/>
  </w:num>
  <w:num w:numId="15" w16cid:durableId="1212310209">
    <w:abstractNumId w:val="47"/>
  </w:num>
  <w:num w:numId="16" w16cid:durableId="1164400272">
    <w:abstractNumId w:val="21"/>
  </w:num>
  <w:num w:numId="17" w16cid:durableId="974991403">
    <w:abstractNumId w:val="81"/>
  </w:num>
  <w:num w:numId="18" w16cid:durableId="784887784">
    <w:abstractNumId w:val="29"/>
  </w:num>
  <w:num w:numId="19" w16cid:durableId="1804888128">
    <w:abstractNumId w:val="71"/>
  </w:num>
  <w:num w:numId="20" w16cid:durableId="1220357442">
    <w:abstractNumId w:val="23"/>
  </w:num>
  <w:num w:numId="21" w16cid:durableId="1080254529">
    <w:abstractNumId w:val="73"/>
  </w:num>
  <w:num w:numId="22" w16cid:durableId="812452886">
    <w:abstractNumId w:val="69"/>
  </w:num>
  <w:num w:numId="23" w16cid:durableId="484127111">
    <w:abstractNumId w:val="72"/>
  </w:num>
  <w:num w:numId="24" w16cid:durableId="1234968398">
    <w:abstractNumId w:val="46"/>
  </w:num>
  <w:num w:numId="25" w16cid:durableId="1855194197">
    <w:abstractNumId w:val="17"/>
  </w:num>
  <w:num w:numId="26" w16cid:durableId="1657299415">
    <w:abstractNumId w:val="49"/>
  </w:num>
  <w:num w:numId="27" w16cid:durableId="1696886233">
    <w:abstractNumId w:val="40"/>
  </w:num>
  <w:num w:numId="28" w16cid:durableId="833492615">
    <w:abstractNumId w:val="74"/>
  </w:num>
  <w:num w:numId="29" w16cid:durableId="194849902">
    <w:abstractNumId w:val="59"/>
  </w:num>
  <w:num w:numId="30" w16cid:durableId="396978023">
    <w:abstractNumId w:val="39"/>
  </w:num>
  <w:num w:numId="31" w16cid:durableId="1568495420">
    <w:abstractNumId w:val="33"/>
  </w:num>
  <w:num w:numId="32" w16cid:durableId="1402948218">
    <w:abstractNumId w:val="66"/>
  </w:num>
  <w:num w:numId="33" w16cid:durableId="1378966778">
    <w:abstractNumId w:val="16"/>
  </w:num>
  <w:num w:numId="34" w16cid:durableId="1884439609">
    <w:abstractNumId w:val="36"/>
  </w:num>
  <w:num w:numId="35" w16cid:durableId="1714572322">
    <w:abstractNumId w:val="9"/>
  </w:num>
  <w:num w:numId="36" w16cid:durableId="1958833998">
    <w:abstractNumId w:val="75"/>
  </w:num>
  <w:num w:numId="37" w16cid:durableId="1479153968">
    <w:abstractNumId w:val="50"/>
  </w:num>
  <w:num w:numId="38" w16cid:durableId="411438706">
    <w:abstractNumId w:val="11"/>
  </w:num>
  <w:num w:numId="39" w16cid:durableId="238372950">
    <w:abstractNumId w:val="58"/>
  </w:num>
  <w:num w:numId="40" w16cid:durableId="993946927">
    <w:abstractNumId w:val="48"/>
  </w:num>
  <w:num w:numId="41" w16cid:durableId="995188166">
    <w:abstractNumId w:val="5"/>
  </w:num>
  <w:num w:numId="42" w16cid:durableId="2078547866">
    <w:abstractNumId w:val="44"/>
  </w:num>
  <w:num w:numId="43" w16cid:durableId="1547108732">
    <w:abstractNumId w:val="20"/>
  </w:num>
  <w:num w:numId="44" w16cid:durableId="423918487">
    <w:abstractNumId w:val="35"/>
  </w:num>
  <w:num w:numId="45" w16cid:durableId="1557013234">
    <w:abstractNumId w:val="54"/>
  </w:num>
  <w:num w:numId="46" w16cid:durableId="1784769281">
    <w:abstractNumId w:val="57"/>
  </w:num>
  <w:num w:numId="47" w16cid:durableId="819267132">
    <w:abstractNumId w:val="63"/>
  </w:num>
  <w:num w:numId="48" w16cid:durableId="2115010416">
    <w:abstractNumId w:val="77"/>
  </w:num>
  <w:num w:numId="49" w16cid:durableId="816071572">
    <w:abstractNumId w:val="64"/>
  </w:num>
  <w:num w:numId="50" w16cid:durableId="453445625">
    <w:abstractNumId w:val="53"/>
  </w:num>
  <w:num w:numId="51" w16cid:durableId="1647392103">
    <w:abstractNumId w:val="67"/>
  </w:num>
  <w:num w:numId="52" w16cid:durableId="362946324">
    <w:abstractNumId w:val="84"/>
  </w:num>
  <w:num w:numId="53" w16cid:durableId="2126850147">
    <w:abstractNumId w:val="87"/>
  </w:num>
  <w:num w:numId="54" w16cid:durableId="1826435886">
    <w:abstractNumId w:val="0"/>
  </w:num>
  <w:num w:numId="55" w16cid:durableId="203057888">
    <w:abstractNumId w:val="45"/>
  </w:num>
  <w:num w:numId="56" w16cid:durableId="486437410">
    <w:abstractNumId w:val="6"/>
  </w:num>
  <w:num w:numId="57" w16cid:durableId="776288856">
    <w:abstractNumId w:val="55"/>
  </w:num>
  <w:num w:numId="58" w16cid:durableId="175852004">
    <w:abstractNumId w:val="78"/>
  </w:num>
  <w:num w:numId="59" w16cid:durableId="470632629">
    <w:abstractNumId w:val="82"/>
  </w:num>
  <w:num w:numId="60" w16cid:durableId="1606309706">
    <w:abstractNumId w:val="1"/>
  </w:num>
  <w:num w:numId="61" w16cid:durableId="1030909571">
    <w:abstractNumId w:val="80"/>
  </w:num>
  <w:num w:numId="62" w16cid:durableId="1111556803">
    <w:abstractNumId w:val="56"/>
  </w:num>
  <w:num w:numId="63" w16cid:durableId="90442961">
    <w:abstractNumId w:val="68"/>
  </w:num>
  <w:num w:numId="64" w16cid:durableId="714352204">
    <w:abstractNumId w:val="52"/>
  </w:num>
  <w:num w:numId="65" w16cid:durableId="877742428">
    <w:abstractNumId w:val="60"/>
  </w:num>
  <w:num w:numId="66" w16cid:durableId="1617129236">
    <w:abstractNumId w:val="7"/>
  </w:num>
  <w:num w:numId="67" w16cid:durableId="1391735158">
    <w:abstractNumId w:val="13"/>
  </w:num>
  <w:num w:numId="68" w16cid:durableId="2137483484">
    <w:abstractNumId w:val="30"/>
  </w:num>
  <w:num w:numId="69" w16cid:durableId="694118754">
    <w:abstractNumId w:val="89"/>
  </w:num>
  <w:num w:numId="70" w16cid:durableId="855921076">
    <w:abstractNumId w:val="38"/>
  </w:num>
  <w:num w:numId="71" w16cid:durableId="2116054927">
    <w:abstractNumId w:val="70"/>
  </w:num>
  <w:num w:numId="72" w16cid:durableId="167715793">
    <w:abstractNumId w:val="4"/>
  </w:num>
  <w:num w:numId="73" w16cid:durableId="368261428">
    <w:abstractNumId w:val="34"/>
  </w:num>
  <w:num w:numId="74" w16cid:durableId="277954455">
    <w:abstractNumId w:val="32"/>
  </w:num>
  <w:num w:numId="75" w16cid:durableId="488597738">
    <w:abstractNumId w:val="31"/>
  </w:num>
  <w:num w:numId="76" w16cid:durableId="595291226">
    <w:abstractNumId w:val="24"/>
  </w:num>
  <w:num w:numId="77" w16cid:durableId="1985042822">
    <w:abstractNumId w:val="86"/>
  </w:num>
  <w:num w:numId="78" w16cid:durableId="52704935">
    <w:abstractNumId w:val="26"/>
  </w:num>
  <w:num w:numId="79" w16cid:durableId="401607641">
    <w:abstractNumId w:val="83"/>
  </w:num>
  <w:num w:numId="80" w16cid:durableId="1576622530">
    <w:abstractNumId w:val="41"/>
  </w:num>
  <w:num w:numId="81" w16cid:durableId="1846282604">
    <w:abstractNumId w:val="22"/>
  </w:num>
  <w:num w:numId="82" w16cid:durableId="1548251980">
    <w:abstractNumId w:val="18"/>
  </w:num>
  <w:num w:numId="83" w16cid:durableId="367755087">
    <w:abstractNumId w:val="3"/>
  </w:num>
  <w:num w:numId="84" w16cid:durableId="1424258753">
    <w:abstractNumId w:val="79"/>
  </w:num>
  <w:num w:numId="85" w16cid:durableId="1507817991">
    <w:abstractNumId w:val="51"/>
  </w:num>
  <w:num w:numId="86" w16cid:durableId="284435878">
    <w:abstractNumId w:val="27"/>
  </w:num>
  <w:num w:numId="87" w16cid:durableId="1531451768">
    <w:abstractNumId w:val="8"/>
  </w:num>
  <w:num w:numId="88" w16cid:durableId="277759871">
    <w:abstractNumId w:val="42"/>
  </w:num>
  <w:num w:numId="89" w16cid:durableId="8458481">
    <w:abstractNumId w:val="85"/>
  </w:num>
  <w:num w:numId="90" w16cid:durableId="1499998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ED"/>
    <w:rsid w:val="00076BBB"/>
    <w:rsid w:val="00112D6D"/>
    <w:rsid w:val="00143B82"/>
    <w:rsid w:val="001D6C94"/>
    <w:rsid w:val="00216229"/>
    <w:rsid w:val="002237A0"/>
    <w:rsid w:val="003653C9"/>
    <w:rsid w:val="00465BB0"/>
    <w:rsid w:val="0046682A"/>
    <w:rsid w:val="004C2616"/>
    <w:rsid w:val="0059732A"/>
    <w:rsid w:val="005C786F"/>
    <w:rsid w:val="005D7E19"/>
    <w:rsid w:val="005F0E25"/>
    <w:rsid w:val="00611189"/>
    <w:rsid w:val="00645F9B"/>
    <w:rsid w:val="006C5590"/>
    <w:rsid w:val="00822424"/>
    <w:rsid w:val="00825680"/>
    <w:rsid w:val="008536ED"/>
    <w:rsid w:val="009A1FC0"/>
    <w:rsid w:val="00A433DD"/>
    <w:rsid w:val="00B03786"/>
    <w:rsid w:val="00CF76F3"/>
    <w:rsid w:val="00D46EDE"/>
    <w:rsid w:val="00E85DD7"/>
    <w:rsid w:val="00F12921"/>
    <w:rsid w:val="00FF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F363"/>
  <w15:chartTrackingRefBased/>
  <w15:docId w15:val="{1A40A1A8-985A-E84C-A642-CD9D44EB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3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3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3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6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6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6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6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3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3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6ED"/>
    <w:rPr>
      <w:rFonts w:eastAsiaTheme="majorEastAsia" w:cstheme="majorBidi"/>
      <w:color w:val="272727" w:themeColor="text1" w:themeTint="D8"/>
    </w:rPr>
  </w:style>
  <w:style w:type="paragraph" w:styleId="Title">
    <w:name w:val="Title"/>
    <w:basedOn w:val="Normal"/>
    <w:next w:val="Normal"/>
    <w:link w:val="TitleChar"/>
    <w:uiPriority w:val="10"/>
    <w:qFormat/>
    <w:rsid w:val="00853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6ED"/>
    <w:pPr>
      <w:spacing w:before="160"/>
      <w:jc w:val="center"/>
    </w:pPr>
    <w:rPr>
      <w:i/>
      <w:iCs/>
      <w:color w:val="404040" w:themeColor="text1" w:themeTint="BF"/>
    </w:rPr>
  </w:style>
  <w:style w:type="character" w:customStyle="1" w:styleId="QuoteChar">
    <w:name w:val="Quote Char"/>
    <w:basedOn w:val="DefaultParagraphFont"/>
    <w:link w:val="Quote"/>
    <w:uiPriority w:val="29"/>
    <w:rsid w:val="008536ED"/>
    <w:rPr>
      <w:i/>
      <w:iCs/>
      <w:color w:val="404040" w:themeColor="text1" w:themeTint="BF"/>
    </w:rPr>
  </w:style>
  <w:style w:type="paragraph" w:styleId="ListParagraph">
    <w:name w:val="List Paragraph"/>
    <w:basedOn w:val="Normal"/>
    <w:uiPriority w:val="34"/>
    <w:qFormat/>
    <w:rsid w:val="008536ED"/>
    <w:pPr>
      <w:ind w:left="720"/>
      <w:contextualSpacing/>
    </w:pPr>
  </w:style>
  <w:style w:type="character" w:styleId="IntenseEmphasis">
    <w:name w:val="Intense Emphasis"/>
    <w:basedOn w:val="DefaultParagraphFont"/>
    <w:uiPriority w:val="21"/>
    <w:qFormat/>
    <w:rsid w:val="008536ED"/>
    <w:rPr>
      <w:i/>
      <w:iCs/>
      <w:color w:val="0F4761" w:themeColor="accent1" w:themeShade="BF"/>
    </w:rPr>
  </w:style>
  <w:style w:type="paragraph" w:styleId="IntenseQuote">
    <w:name w:val="Intense Quote"/>
    <w:basedOn w:val="Normal"/>
    <w:next w:val="Normal"/>
    <w:link w:val="IntenseQuoteChar"/>
    <w:uiPriority w:val="30"/>
    <w:qFormat/>
    <w:rsid w:val="00853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6ED"/>
    <w:rPr>
      <w:i/>
      <w:iCs/>
      <w:color w:val="0F4761" w:themeColor="accent1" w:themeShade="BF"/>
    </w:rPr>
  </w:style>
  <w:style w:type="character" w:styleId="IntenseReference">
    <w:name w:val="Intense Reference"/>
    <w:basedOn w:val="DefaultParagraphFont"/>
    <w:uiPriority w:val="32"/>
    <w:qFormat/>
    <w:rsid w:val="008536ED"/>
    <w:rPr>
      <w:b/>
      <w:bCs/>
      <w:smallCaps/>
      <w:color w:val="0F4761" w:themeColor="accent1" w:themeShade="BF"/>
      <w:spacing w:val="5"/>
    </w:rPr>
  </w:style>
  <w:style w:type="table" w:styleId="TableGridLight">
    <w:name w:val="Grid Table Light"/>
    <w:basedOn w:val="TableNormal"/>
    <w:uiPriority w:val="40"/>
    <w:rsid w:val="006C55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46EDE"/>
    <w:pPr>
      <w:spacing w:before="100" w:beforeAutospacing="1" w:after="100" w:afterAutospacing="1"/>
    </w:pPr>
  </w:style>
  <w:style w:type="character" w:customStyle="1" w:styleId="apple-converted-space">
    <w:name w:val="apple-converted-space"/>
    <w:basedOn w:val="DefaultParagraphFont"/>
    <w:rsid w:val="00D46EDE"/>
  </w:style>
  <w:style w:type="paragraph" w:customStyle="1" w:styleId="msonormal0">
    <w:name w:val="msonormal"/>
    <w:basedOn w:val="Normal"/>
    <w:rsid w:val="00112D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9436">
      <w:bodyDiv w:val="1"/>
      <w:marLeft w:val="0"/>
      <w:marRight w:val="0"/>
      <w:marTop w:val="0"/>
      <w:marBottom w:val="0"/>
      <w:divBdr>
        <w:top w:val="none" w:sz="0" w:space="0" w:color="auto"/>
        <w:left w:val="none" w:sz="0" w:space="0" w:color="auto"/>
        <w:bottom w:val="none" w:sz="0" w:space="0" w:color="auto"/>
        <w:right w:val="none" w:sz="0" w:space="0" w:color="auto"/>
      </w:divBdr>
    </w:div>
    <w:div w:id="173032343">
      <w:bodyDiv w:val="1"/>
      <w:marLeft w:val="0"/>
      <w:marRight w:val="0"/>
      <w:marTop w:val="0"/>
      <w:marBottom w:val="0"/>
      <w:divBdr>
        <w:top w:val="none" w:sz="0" w:space="0" w:color="auto"/>
        <w:left w:val="none" w:sz="0" w:space="0" w:color="auto"/>
        <w:bottom w:val="none" w:sz="0" w:space="0" w:color="auto"/>
        <w:right w:val="none" w:sz="0" w:space="0" w:color="auto"/>
      </w:divBdr>
      <w:divsChild>
        <w:div w:id="1574005207">
          <w:marLeft w:val="0"/>
          <w:marRight w:val="0"/>
          <w:marTop w:val="0"/>
          <w:marBottom w:val="0"/>
          <w:divBdr>
            <w:top w:val="none" w:sz="0" w:space="0" w:color="auto"/>
            <w:left w:val="none" w:sz="0" w:space="0" w:color="auto"/>
            <w:bottom w:val="none" w:sz="0" w:space="0" w:color="auto"/>
            <w:right w:val="none" w:sz="0" w:space="0" w:color="auto"/>
          </w:divBdr>
        </w:div>
        <w:div w:id="324403485">
          <w:marLeft w:val="0"/>
          <w:marRight w:val="0"/>
          <w:marTop w:val="0"/>
          <w:marBottom w:val="0"/>
          <w:divBdr>
            <w:top w:val="none" w:sz="0" w:space="0" w:color="auto"/>
            <w:left w:val="none" w:sz="0" w:space="0" w:color="auto"/>
            <w:bottom w:val="none" w:sz="0" w:space="0" w:color="auto"/>
            <w:right w:val="none" w:sz="0" w:space="0" w:color="auto"/>
          </w:divBdr>
        </w:div>
        <w:div w:id="956720777">
          <w:marLeft w:val="0"/>
          <w:marRight w:val="0"/>
          <w:marTop w:val="0"/>
          <w:marBottom w:val="0"/>
          <w:divBdr>
            <w:top w:val="none" w:sz="0" w:space="0" w:color="auto"/>
            <w:left w:val="none" w:sz="0" w:space="0" w:color="auto"/>
            <w:bottom w:val="none" w:sz="0" w:space="0" w:color="auto"/>
            <w:right w:val="none" w:sz="0" w:space="0" w:color="auto"/>
          </w:divBdr>
        </w:div>
        <w:div w:id="750395196">
          <w:marLeft w:val="0"/>
          <w:marRight w:val="0"/>
          <w:marTop w:val="0"/>
          <w:marBottom w:val="0"/>
          <w:divBdr>
            <w:top w:val="none" w:sz="0" w:space="0" w:color="auto"/>
            <w:left w:val="none" w:sz="0" w:space="0" w:color="auto"/>
            <w:bottom w:val="none" w:sz="0" w:space="0" w:color="auto"/>
            <w:right w:val="none" w:sz="0" w:space="0" w:color="auto"/>
          </w:divBdr>
        </w:div>
        <w:div w:id="1221556727">
          <w:marLeft w:val="0"/>
          <w:marRight w:val="0"/>
          <w:marTop w:val="0"/>
          <w:marBottom w:val="0"/>
          <w:divBdr>
            <w:top w:val="none" w:sz="0" w:space="0" w:color="auto"/>
            <w:left w:val="none" w:sz="0" w:space="0" w:color="auto"/>
            <w:bottom w:val="none" w:sz="0" w:space="0" w:color="auto"/>
            <w:right w:val="none" w:sz="0" w:space="0" w:color="auto"/>
          </w:divBdr>
        </w:div>
        <w:div w:id="655109970">
          <w:marLeft w:val="0"/>
          <w:marRight w:val="0"/>
          <w:marTop w:val="0"/>
          <w:marBottom w:val="0"/>
          <w:divBdr>
            <w:top w:val="none" w:sz="0" w:space="0" w:color="auto"/>
            <w:left w:val="none" w:sz="0" w:space="0" w:color="auto"/>
            <w:bottom w:val="none" w:sz="0" w:space="0" w:color="auto"/>
            <w:right w:val="none" w:sz="0" w:space="0" w:color="auto"/>
          </w:divBdr>
        </w:div>
        <w:div w:id="2060863274">
          <w:marLeft w:val="0"/>
          <w:marRight w:val="0"/>
          <w:marTop w:val="0"/>
          <w:marBottom w:val="0"/>
          <w:divBdr>
            <w:top w:val="none" w:sz="0" w:space="0" w:color="auto"/>
            <w:left w:val="none" w:sz="0" w:space="0" w:color="auto"/>
            <w:bottom w:val="none" w:sz="0" w:space="0" w:color="auto"/>
            <w:right w:val="none" w:sz="0" w:space="0" w:color="auto"/>
          </w:divBdr>
        </w:div>
        <w:div w:id="597759870">
          <w:marLeft w:val="0"/>
          <w:marRight w:val="0"/>
          <w:marTop w:val="0"/>
          <w:marBottom w:val="0"/>
          <w:divBdr>
            <w:top w:val="none" w:sz="0" w:space="0" w:color="auto"/>
            <w:left w:val="none" w:sz="0" w:space="0" w:color="auto"/>
            <w:bottom w:val="none" w:sz="0" w:space="0" w:color="auto"/>
            <w:right w:val="none" w:sz="0" w:space="0" w:color="auto"/>
          </w:divBdr>
        </w:div>
        <w:div w:id="1560894836">
          <w:marLeft w:val="0"/>
          <w:marRight w:val="0"/>
          <w:marTop w:val="0"/>
          <w:marBottom w:val="0"/>
          <w:divBdr>
            <w:top w:val="none" w:sz="0" w:space="0" w:color="auto"/>
            <w:left w:val="none" w:sz="0" w:space="0" w:color="auto"/>
            <w:bottom w:val="none" w:sz="0" w:space="0" w:color="auto"/>
            <w:right w:val="none" w:sz="0" w:space="0" w:color="auto"/>
          </w:divBdr>
        </w:div>
        <w:div w:id="1299458786">
          <w:marLeft w:val="0"/>
          <w:marRight w:val="0"/>
          <w:marTop w:val="0"/>
          <w:marBottom w:val="0"/>
          <w:divBdr>
            <w:top w:val="none" w:sz="0" w:space="0" w:color="auto"/>
            <w:left w:val="none" w:sz="0" w:space="0" w:color="auto"/>
            <w:bottom w:val="none" w:sz="0" w:space="0" w:color="auto"/>
            <w:right w:val="none" w:sz="0" w:space="0" w:color="auto"/>
          </w:divBdr>
        </w:div>
        <w:div w:id="906765010">
          <w:marLeft w:val="0"/>
          <w:marRight w:val="0"/>
          <w:marTop w:val="0"/>
          <w:marBottom w:val="0"/>
          <w:divBdr>
            <w:top w:val="none" w:sz="0" w:space="0" w:color="auto"/>
            <w:left w:val="none" w:sz="0" w:space="0" w:color="auto"/>
            <w:bottom w:val="none" w:sz="0" w:space="0" w:color="auto"/>
            <w:right w:val="none" w:sz="0" w:space="0" w:color="auto"/>
          </w:divBdr>
        </w:div>
        <w:div w:id="1940940236">
          <w:marLeft w:val="0"/>
          <w:marRight w:val="0"/>
          <w:marTop w:val="0"/>
          <w:marBottom w:val="0"/>
          <w:divBdr>
            <w:top w:val="none" w:sz="0" w:space="0" w:color="auto"/>
            <w:left w:val="none" w:sz="0" w:space="0" w:color="auto"/>
            <w:bottom w:val="none" w:sz="0" w:space="0" w:color="auto"/>
            <w:right w:val="none" w:sz="0" w:space="0" w:color="auto"/>
          </w:divBdr>
        </w:div>
        <w:div w:id="1585794305">
          <w:marLeft w:val="0"/>
          <w:marRight w:val="0"/>
          <w:marTop w:val="0"/>
          <w:marBottom w:val="0"/>
          <w:divBdr>
            <w:top w:val="none" w:sz="0" w:space="0" w:color="auto"/>
            <w:left w:val="none" w:sz="0" w:space="0" w:color="auto"/>
            <w:bottom w:val="none" w:sz="0" w:space="0" w:color="auto"/>
            <w:right w:val="none" w:sz="0" w:space="0" w:color="auto"/>
          </w:divBdr>
        </w:div>
        <w:div w:id="972247701">
          <w:marLeft w:val="0"/>
          <w:marRight w:val="0"/>
          <w:marTop w:val="0"/>
          <w:marBottom w:val="0"/>
          <w:divBdr>
            <w:top w:val="none" w:sz="0" w:space="0" w:color="auto"/>
            <w:left w:val="none" w:sz="0" w:space="0" w:color="auto"/>
            <w:bottom w:val="none" w:sz="0" w:space="0" w:color="auto"/>
            <w:right w:val="none" w:sz="0" w:space="0" w:color="auto"/>
          </w:divBdr>
        </w:div>
        <w:div w:id="1065562815">
          <w:marLeft w:val="0"/>
          <w:marRight w:val="0"/>
          <w:marTop w:val="0"/>
          <w:marBottom w:val="0"/>
          <w:divBdr>
            <w:top w:val="none" w:sz="0" w:space="0" w:color="auto"/>
            <w:left w:val="none" w:sz="0" w:space="0" w:color="auto"/>
            <w:bottom w:val="none" w:sz="0" w:space="0" w:color="auto"/>
            <w:right w:val="none" w:sz="0" w:space="0" w:color="auto"/>
          </w:divBdr>
        </w:div>
        <w:div w:id="1630209233">
          <w:marLeft w:val="0"/>
          <w:marRight w:val="0"/>
          <w:marTop w:val="0"/>
          <w:marBottom w:val="0"/>
          <w:divBdr>
            <w:top w:val="none" w:sz="0" w:space="0" w:color="auto"/>
            <w:left w:val="none" w:sz="0" w:space="0" w:color="auto"/>
            <w:bottom w:val="none" w:sz="0" w:space="0" w:color="auto"/>
            <w:right w:val="none" w:sz="0" w:space="0" w:color="auto"/>
          </w:divBdr>
        </w:div>
        <w:div w:id="1215117116">
          <w:marLeft w:val="0"/>
          <w:marRight w:val="0"/>
          <w:marTop w:val="0"/>
          <w:marBottom w:val="0"/>
          <w:divBdr>
            <w:top w:val="none" w:sz="0" w:space="0" w:color="auto"/>
            <w:left w:val="none" w:sz="0" w:space="0" w:color="auto"/>
            <w:bottom w:val="none" w:sz="0" w:space="0" w:color="auto"/>
            <w:right w:val="none" w:sz="0" w:space="0" w:color="auto"/>
          </w:divBdr>
        </w:div>
        <w:div w:id="86736503">
          <w:marLeft w:val="0"/>
          <w:marRight w:val="0"/>
          <w:marTop w:val="0"/>
          <w:marBottom w:val="0"/>
          <w:divBdr>
            <w:top w:val="none" w:sz="0" w:space="0" w:color="auto"/>
            <w:left w:val="none" w:sz="0" w:space="0" w:color="auto"/>
            <w:bottom w:val="none" w:sz="0" w:space="0" w:color="auto"/>
            <w:right w:val="none" w:sz="0" w:space="0" w:color="auto"/>
          </w:divBdr>
        </w:div>
        <w:div w:id="1346833342">
          <w:marLeft w:val="0"/>
          <w:marRight w:val="0"/>
          <w:marTop w:val="0"/>
          <w:marBottom w:val="0"/>
          <w:divBdr>
            <w:top w:val="none" w:sz="0" w:space="0" w:color="auto"/>
            <w:left w:val="none" w:sz="0" w:space="0" w:color="auto"/>
            <w:bottom w:val="none" w:sz="0" w:space="0" w:color="auto"/>
            <w:right w:val="none" w:sz="0" w:space="0" w:color="auto"/>
          </w:divBdr>
        </w:div>
        <w:div w:id="2064870609">
          <w:marLeft w:val="0"/>
          <w:marRight w:val="0"/>
          <w:marTop w:val="0"/>
          <w:marBottom w:val="0"/>
          <w:divBdr>
            <w:top w:val="none" w:sz="0" w:space="0" w:color="auto"/>
            <w:left w:val="none" w:sz="0" w:space="0" w:color="auto"/>
            <w:bottom w:val="none" w:sz="0" w:space="0" w:color="auto"/>
            <w:right w:val="none" w:sz="0" w:space="0" w:color="auto"/>
          </w:divBdr>
        </w:div>
        <w:div w:id="642319681">
          <w:marLeft w:val="0"/>
          <w:marRight w:val="0"/>
          <w:marTop w:val="0"/>
          <w:marBottom w:val="0"/>
          <w:divBdr>
            <w:top w:val="none" w:sz="0" w:space="0" w:color="auto"/>
            <w:left w:val="none" w:sz="0" w:space="0" w:color="auto"/>
            <w:bottom w:val="none" w:sz="0" w:space="0" w:color="auto"/>
            <w:right w:val="none" w:sz="0" w:space="0" w:color="auto"/>
          </w:divBdr>
        </w:div>
        <w:div w:id="447089015">
          <w:marLeft w:val="0"/>
          <w:marRight w:val="0"/>
          <w:marTop w:val="0"/>
          <w:marBottom w:val="0"/>
          <w:divBdr>
            <w:top w:val="none" w:sz="0" w:space="0" w:color="auto"/>
            <w:left w:val="none" w:sz="0" w:space="0" w:color="auto"/>
            <w:bottom w:val="none" w:sz="0" w:space="0" w:color="auto"/>
            <w:right w:val="none" w:sz="0" w:space="0" w:color="auto"/>
          </w:divBdr>
        </w:div>
        <w:div w:id="861237181">
          <w:marLeft w:val="0"/>
          <w:marRight w:val="0"/>
          <w:marTop w:val="0"/>
          <w:marBottom w:val="0"/>
          <w:divBdr>
            <w:top w:val="none" w:sz="0" w:space="0" w:color="auto"/>
            <w:left w:val="none" w:sz="0" w:space="0" w:color="auto"/>
            <w:bottom w:val="none" w:sz="0" w:space="0" w:color="auto"/>
            <w:right w:val="none" w:sz="0" w:space="0" w:color="auto"/>
          </w:divBdr>
        </w:div>
        <w:div w:id="1570382436">
          <w:marLeft w:val="0"/>
          <w:marRight w:val="0"/>
          <w:marTop w:val="0"/>
          <w:marBottom w:val="0"/>
          <w:divBdr>
            <w:top w:val="none" w:sz="0" w:space="0" w:color="auto"/>
            <w:left w:val="none" w:sz="0" w:space="0" w:color="auto"/>
            <w:bottom w:val="none" w:sz="0" w:space="0" w:color="auto"/>
            <w:right w:val="none" w:sz="0" w:space="0" w:color="auto"/>
          </w:divBdr>
        </w:div>
      </w:divsChild>
    </w:div>
    <w:div w:id="231552599">
      <w:bodyDiv w:val="1"/>
      <w:marLeft w:val="0"/>
      <w:marRight w:val="0"/>
      <w:marTop w:val="0"/>
      <w:marBottom w:val="0"/>
      <w:divBdr>
        <w:top w:val="none" w:sz="0" w:space="0" w:color="auto"/>
        <w:left w:val="none" w:sz="0" w:space="0" w:color="auto"/>
        <w:bottom w:val="none" w:sz="0" w:space="0" w:color="auto"/>
        <w:right w:val="none" w:sz="0" w:space="0" w:color="auto"/>
      </w:divBdr>
    </w:div>
    <w:div w:id="271983493">
      <w:bodyDiv w:val="1"/>
      <w:marLeft w:val="0"/>
      <w:marRight w:val="0"/>
      <w:marTop w:val="0"/>
      <w:marBottom w:val="0"/>
      <w:divBdr>
        <w:top w:val="none" w:sz="0" w:space="0" w:color="auto"/>
        <w:left w:val="none" w:sz="0" w:space="0" w:color="auto"/>
        <w:bottom w:val="none" w:sz="0" w:space="0" w:color="auto"/>
        <w:right w:val="none" w:sz="0" w:space="0" w:color="auto"/>
      </w:divBdr>
    </w:div>
    <w:div w:id="445586026">
      <w:bodyDiv w:val="1"/>
      <w:marLeft w:val="0"/>
      <w:marRight w:val="0"/>
      <w:marTop w:val="0"/>
      <w:marBottom w:val="0"/>
      <w:divBdr>
        <w:top w:val="none" w:sz="0" w:space="0" w:color="auto"/>
        <w:left w:val="none" w:sz="0" w:space="0" w:color="auto"/>
        <w:bottom w:val="none" w:sz="0" w:space="0" w:color="auto"/>
        <w:right w:val="none" w:sz="0" w:space="0" w:color="auto"/>
      </w:divBdr>
    </w:div>
    <w:div w:id="471141537">
      <w:bodyDiv w:val="1"/>
      <w:marLeft w:val="0"/>
      <w:marRight w:val="0"/>
      <w:marTop w:val="0"/>
      <w:marBottom w:val="0"/>
      <w:divBdr>
        <w:top w:val="none" w:sz="0" w:space="0" w:color="auto"/>
        <w:left w:val="none" w:sz="0" w:space="0" w:color="auto"/>
        <w:bottom w:val="none" w:sz="0" w:space="0" w:color="auto"/>
        <w:right w:val="none" w:sz="0" w:space="0" w:color="auto"/>
      </w:divBdr>
    </w:div>
    <w:div w:id="473721908">
      <w:bodyDiv w:val="1"/>
      <w:marLeft w:val="0"/>
      <w:marRight w:val="0"/>
      <w:marTop w:val="0"/>
      <w:marBottom w:val="0"/>
      <w:divBdr>
        <w:top w:val="none" w:sz="0" w:space="0" w:color="auto"/>
        <w:left w:val="none" w:sz="0" w:space="0" w:color="auto"/>
        <w:bottom w:val="none" w:sz="0" w:space="0" w:color="auto"/>
        <w:right w:val="none" w:sz="0" w:space="0" w:color="auto"/>
      </w:divBdr>
    </w:div>
    <w:div w:id="612982707">
      <w:bodyDiv w:val="1"/>
      <w:marLeft w:val="0"/>
      <w:marRight w:val="0"/>
      <w:marTop w:val="0"/>
      <w:marBottom w:val="0"/>
      <w:divBdr>
        <w:top w:val="none" w:sz="0" w:space="0" w:color="auto"/>
        <w:left w:val="none" w:sz="0" w:space="0" w:color="auto"/>
        <w:bottom w:val="none" w:sz="0" w:space="0" w:color="auto"/>
        <w:right w:val="none" w:sz="0" w:space="0" w:color="auto"/>
      </w:divBdr>
    </w:div>
    <w:div w:id="629286033">
      <w:bodyDiv w:val="1"/>
      <w:marLeft w:val="0"/>
      <w:marRight w:val="0"/>
      <w:marTop w:val="0"/>
      <w:marBottom w:val="0"/>
      <w:divBdr>
        <w:top w:val="none" w:sz="0" w:space="0" w:color="auto"/>
        <w:left w:val="none" w:sz="0" w:space="0" w:color="auto"/>
        <w:bottom w:val="none" w:sz="0" w:space="0" w:color="auto"/>
        <w:right w:val="none" w:sz="0" w:space="0" w:color="auto"/>
      </w:divBdr>
    </w:div>
    <w:div w:id="799415866">
      <w:bodyDiv w:val="1"/>
      <w:marLeft w:val="0"/>
      <w:marRight w:val="0"/>
      <w:marTop w:val="0"/>
      <w:marBottom w:val="0"/>
      <w:divBdr>
        <w:top w:val="none" w:sz="0" w:space="0" w:color="auto"/>
        <w:left w:val="none" w:sz="0" w:space="0" w:color="auto"/>
        <w:bottom w:val="none" w:sz="0" w:space="0" w:color="auto"/>
        <w:right w:val="none" w:sz="0" w:space="0" w:color="auto"/>
      </w:divBdr>
    </w:div>
    <w:div w:id="813957316">
      <w:bodyDiv w:val="1"/>
      <w:marLeft w:val="0"/>
      <w:marRight w:val="0"/>
      <w:marTop w:val="0"/>
      <w:marBottom w:val="0"/>
      <w:divBdr>
        <w:top w:val="none" w:sz="0" w:space="0" w:color="auto"/>
        <w:left w:val="none" w:sz="0" w:space="0" w:color="auto"/>
        <w:bottom w:val="none" w:sz="0" w:space="0" w:color="auto"/>
        <w:right w:val="none" w:sz="0" w:space="0" w:color="auto"/>
      </w:divBdr>
    </w:div>
    <w:div w:id="856503755">
      <w:bodyDiv w:val="1"/>
      <w:marLeft w:val="0"/>
      <w:marRight w:val="0"/>
      <w:marTop w:val="0"/>
      <w:marBottom w:val="0"/>
      <w:divBdr>
        <w:top w:val="none" w:sz="0" w:space="0" w:color="auto"/>
        <w:left w:val="none" w:sz="0" w:space="0" w:color="auto"/>
        <w:bottom w:val="none" w:sz="0" w:space="0" w:color="auto"/>
        <w:right w:val="none" w:sz="0" w:space="0" w:color="auto"/>
      </w:divBdr>
    </w:div>
    <w:div w:id="1099058574">
      <w:bodyDiv w:val="1"/>
      <w:marLeft w:val="0"/>
      <w:marRight w:val="0"/>
      <w:marTop w:val="0"/>
      <w:marBottom w:val="0"/>
      <w:divBdr>
        <w:top w:val="none" w:sz="0" w:space="0" w:color="auto"/>
        <w:left w:val="none" w:sz="0" w:space="0" w:color="auto"/>
        <w:bottom w:val="none" w:sz="0" w:space="0" w:color="auto"/>
        <w:right w:val="none" w:sz="0" w:space="0" w:color="auto"/>
      </w:divBdr>
    </w:div>
    <w:div w:id="1332833511">
      <w:bodyDiv w:val="1"/>
      <w:marLeft w:val="0"/>
      <w:marRight w:val="0"/>
      <w:marTop w:val="0"/>
      <w:marBottom w:val="0"/>
      <w:divBdr>
        <w:top w:val="none" w:sz="0" w:space="0" w:color="auto"/>
        <w:left w:val="none" w:sz="0" w:space="0" w:color="auto"/>
        <w:bottom w:val="none" w:sz="0" w:space="0" w:color="auto"/>
        <w:right w:val="none" w:sz="0" w:space="0" w:color="auto"/>
      </w:divBdr>
      <w:divsChild>
        <w:div w:id="828792730">
          <w:marLeft w:val="0"/>
          <w:marRight w:val="0"/>
          <w:marTop w:val="0"/>
          <w:marBottom w:val="0"/>
          <w:divBdr>
            <w:top w:val="none" w:sz="0" w:space="0" w:color="auto"/>
            <w:left w:val="none" w:sz="0" w:space="0" w:color="auto"/>
            <w:bottom w:val="none" w:sz="0" w:space="0" w:color="auto"/>
            <w:right w:val="none" w:sz="0" w:space="0" w:color="auto"/>
          </w:divBdr>
          <w:divsChild>
            <w:div w:id="1838837669">
              <w:marLeft w:val="0"/>
              <w:marRight w:val="0"/>
              <w:marTop w:val="0"/>
              <w:marBottom w:val="0"/>
              <w:divBdr>
                <w:top w:val="none" w:sz="0" w:space="0" w:color="auto"/>
                <w:left w:val="none" w:sz="0" w:space="0" w:color="auto"/>
                <w:bottom w:val="none" w:sz="0" w:space="0" w:color="auto"/>
                <w:right w:val="none" w:sz="0" w:space="0" w:color="auto"/>
              </w:divBdr>
            </w:div>
          </w:divsChild>
        </w:div>
        <w:div w:id="1047607203">
          <w:marLeft w:val="0"/>
          <w:marRight w:val="0"/>
          <w:marTop w:val="0"/>
          <w:marBottom w:val="0"/>
          <w:divBdr>
            <w:top w:val="none" w:sz="0" w:space="0" w:color="auto"/>
            <w:left w:val="none" w:sz="0" w:space="0" w:color="auto"/>
            <w:bottom w:val="none" w:sz="0" w:space="0" w:color="auto"/>
            <w:right w:val="none" w:sz="0" w:space="0" w:color="auto"/>
          </w:divBdr>
        </w:div>
        <w:div w:id="14961778">
          <w:marLeft w:val="0"/>
          <w:marRight w:val="0"/>
          <w:marTop w:val="0"/>
          <w:marBottom w:val="0"/>
          <w:divBdr>
            <w:top w:val="none" w:sz="0" w:space="0" w:color="auto"/>
            <w:left w:val="none" w:sz="0" w:space="0" w:color="auto"/>
            <w:bottom w:val="none" w:sz="0" w:space="0" w:color="auto"/>
            <w:right w:val="none" w:sz="0" w:space="0" w:color="auto"/>
          </w:divBdr>
        </w:div>
        <w:div w:id="1023898488">
          <w:marLeft w:val="0"/>
          <w:marRight w:val="0"/>
          <w:marTop w:val="0"/>
          <w:marBottom w:val="0"/>
          <w:divBdr>
            <w:top w:val="none" w:sz="0" w:space="0" w:color="auto"/>
            <w:left w:val="none" w:sz="0" w:space="0" w:color="auto"/>
            <w:bottom w:val="none" w:sz="0" w:space="0" w:color="auto"/>
            <w:right w:val="none" w:sz="0" w:space="0" w:color="auto"/>
          </w:divBdr>
        </w:div>
        <w:div w:id="2116166455">
          <w:marLeft w:val="0"/>
          <w:marRight w:val="0"/>
          <w:marTop w:val="0"/>
          <w:marBottom w:val="0"/>
          <w:divBdr>
            <w:top w:val="none" w:sz="0" w:space="0" w:color="auto"/>
            <w:left w:val="none" w:sz="0" w:space="0" w:color="auto"/>
            <w:bottom w:val="none" w:sz="0" w:space="0" w:color="auto"/>
            <w:right w:val="none" w:sz="0" w:space="0" w:color="auto"/>
          </w:divBdr>
        </w:div>
        <w:div w:id="2016691739">
          <w:marLeft w:val="0"/>
          <w:marRight w:val="0"/>
          <w:marTop w:val="0"/>
          <w:marBottom w:val="0"/>
          <w:divBdr>
            <w:top w:val="none" w:sz="0" w:space="0" w:color="auto"/>
            <w:left w:val="none" w:sz="0" w:space="0" w:color="auto"/>
            <w:bottom w:val="none" w:sz="0" w:space="0" w:color="auto"/>
            <w:right w:val="none" w:sz="0" w:space="0" w:color="auto"/>
          </w:divBdr>
        </w:div>
        <w:div w:id="684286201">
          <w:marLeft w:val="0"/>
          <w:marRight w:val="0"/>
          <w:marTop w:val="0"/>
          <w:marBottom w:val="0"/>
          <w:divBdr>
            <w:top w:val="none" w:sz="0" w:space="0" w:color="auto"/>
            <w:left w:val="none" w:sz="0" w:space="0" w:color="auto"/>
            <w:bottom w:val="none" w:sz="0" w:space="0" w:color="auto"/>
            <w:right w:val="none" w:sz="0" w:space="0" w:color="auto"/>
          </w:divBdr>
          <w:divsChild>
            <w:div w:id="148907829">
              <w:marLeft w:val="0"/>
              <w:marRight w:val="0"/>
              <w:marTop w:val="0"/>
              <w:marBottom w:val="0"/>
              <w:divBdr>
                <w:top w:val="none" w:sz="0" w:space="0" w:color="auto"/>
                <w:left w:val="none" w:sz="0" w:space="0" w:color="auto"/>
                <w:bottom w:val="none" w:sz="0" w:space="0" w:color="auto"/>
                <w:right w:val="none" w:sz="0" w:space="0" w:color="auto"/>
              </w:divBdr>
            </w:div>
          </w:divsChild>
        </w:div>
        <w:div w:id="1264920736">
          <w:marLeft w:val="0"/>
          <w:marRight w:val="0"/>
          <w:marTop w:val="0"/>
          <w:marBottom w:val="0"/>
          <w:divBdr>
            <w:top w:val="none" w:sz="0" w:space="0" w:color="auto"/>
            <w:left w:val="none" w:sz="0" w:space="0" w:color="auto"/>
            <w:bottom w:val="none" w:sz="0" w:space="0" w:color="auto"/>
            <w:right w:val="none" w:sz="0" w:space="0" w:color="auto"/>
          </w:divBdr>
        </w:div>
        <w:div w:id="1313100122">
          <w:marLeft w:val="0"/>
          <w:marRight w:val="0"/>
          <w:marTop w:val="0"/>
          <w:marBottom w:val="0"/>
          <w:divBdr>
            <w:top w:val="none" w:sz="0" w:space="0" w:color="auto"/>
            <w:left w:val="none" w:sz="0" w:space="0" w:color="auto"/>
            <w:bottom w:val="none" w:sz="0" w:space="0" w:color="auto"/>
            <w:right w:val="none" w:sz="0" w:space="0" w:color="auto"/>
          </w:divBdr>
          <w:divsChild>
            <w:div w:id="291524322">
              <w:marLeft w:val="0"/>
              <w:marRight w:val="0"/>
              <w:marTop w:val="0"/>
              <w:marBottom w:val="0"/>
              <w:divBdr>
                <w:top w:val="none" w:sz="0" w:space="0" w:color="auto"/>
                <w:left w:val="none" w:sz="0" w:space="0" w:color="auto"/>
                <w:bottom w:val="none" w:sz="0" w:space="0" w:color="auto"/>
                <w:right w:val="none" w:sz="0" w:space="0" w:color="auto"/>
              </w:divBdr>
            </w:div>
          </w:divsChild>
        </w:div>
        <w:div w:id="2080521169">
          <w:marLeft w:val="0"/>
          <w:marRight w:val="0"/>
          <w:marTop w:val="0"/>
          <w:marBottom w:val="0"/>
          <w:divBdr>
            <w:top w:val="none" w:sz="0" w:space="0" w:color="auto"/>
            <w:left w:val="none" w:sz="0" w:space="0" w:color="auto"/>
            <w:bottom w:val="none" w:sz="0" w:space="0" w:color="auto"/>
            <w:right w:val="none" w:sz="0" w:space="0" w:color="auto"/>
          </w:divBdr>
        </w:div>
      </w:divsChild>
    </w:div>
    <w:div w:id="1397777934">
      <w:bodyDiv w:val="1"/>
      <w:marLeft w:val="0"/>
      <w:marRight w:val="0"/>
      <w:marTop w:val="0"/>
      <w:marBottom w:val="0"/>
      <w:divBdr>
        <w:top w:val="none" w:sz="0" w:space="0" w:color="auto"/>
        <w:left w:val="none" w:sz="0" w:space="0" w:color="auto"/>
        <w:bottom w:val="none" w:sz="0" w:space="0" w:color="auto"/>
        <w:right w:val="none" w:sz="0" w:space="0" w:color="auto"/>
      </w:divBdr>
      <w:divsChild>
        <w:div w:id="969239034">
          <w:marLeft w:val="0"/>
          <w:marRight w:val="0"/>
          <w:marTop w:val="0"/>
          <w:marBottom w:val="0"/>
          <w:divBdr>
            <w:top w:val="none" w:sz="0" w:space="0" w:color="auto"/>
            <w:left w:val="none" w:sz="0" w:space="0" w:color="auto"/>
            <w:bottom w:val="none" w:sz="0" w:space="0" w:color="auto"/>
            <w:right w:val="none" w:sz="0" w:space="0" w:color="auto"/>
          </w:divBdr>
        </w:div>
        <w:div w:id="1426808858">
          <w:marLeft w:val="0"/>
          <w:marRight w:val="0"/>
          <w:marTop w:val="0"/>
          <w:marBottom w:val="0"/>
          <w:divBdr>
            <w:top w:val="none" w:sz="0" w:space="0" w:color="auto"/>
            <w:left w:val="none" w:sz="0" w:space="0" w:color="auto"/>
            <w:bottom w:val="none" w:sz="0" w:space="0" w:color="auto"/>
            <w:right w:val="none" w:sz="0" w:space="0" w:color="auto"/>
          </w:divBdr>
        </w:div>
        <w:div w:id="1688482597">
          <w:marLeft w:val="0"/>
          <w:marRight w:val="0"/>
          <w:marTop w:val="0"/>
          <w:marBottom w:val="0"/>
          <w:divBdr>
            <w:top w:val="none" w:sz="0" w:space="0" w:color="auto"/>
            <w:left w:val="none" w:sz="0" w:space="0" w:color="auto"/>
            <w:bottom w:val="none" w:sz="0" w:space="0" w:color="auto"/>
            <w:right w:val="none" w:sz="0" w:space="0" w:color="auto"/>
          </w:divBdr>
        </w:div>
        <w:div w:id="617836513">
          <w:marLeft w:val="0"/>
          <w:marRight w:val="0"/>
          <w:marTop w:val="0"/>
          <w:marBottom w:val="0"/>
          <w:divBdr>
            <w:top w:val="none" w:sz="0" w:space="0" w:color="auto"/>
            <w:left w:val="none" w:sz="0" w:space="0" w:color="auto"/>
            <w:bottom w:val="none" w:sz="0" w:space="0" w:color="auto"/>
            <w:right w:val="none" w:sz="0" w:space="0" w:color="auto"/>
          </w:divBdr>
        </w:div>
        <w:div w:id="913198393">
          <w:marLeft w:val="0"/>
          <w:marRight w:val="0"/>
          <w:marTop w:val="0"/>
          <w:marBottom w:val="0"/>
          <w:divBdr>
            <w:top w:val="none" w:sz="0" w:space="0" w:color="auto"/>
            <w:left w:val="none" w:sz="0" w:space="0" w:color="auto"/>
            <w:bottom w:val="none" w:sz="0" w:space="0" w:color="auto"/>
            <w:right w:val="none" w:sz="0" w:space="0" w:color="auto"/>
          </w:divBdr>
        </w:div>
        <w:div w:id="457182432">
          <w:marLeft w:val="0"/>
          <w:marRight w:val="0"/>
          <w:marTop w:val="0"/>
          <w:marBottom w:val="0"/>
          <w:divBdr>
            <w:top w:val="none" w:sz="0" w:space="0" w:color="auto"/>
            <w:left w:val="none" w:sz="0" w:space="0" w:color="auto"/>
            <w:bottom w:val="none" w:sz="0" w:space="0" w:color="auto"/>
            <w:right w:val="none" w:sz="0" w:space="0" w:color="auto"/>
          </w:divBdr>
        </w:div>
        <w:div w:id="84037996">
          <w:marLeft w:val="0"/>
          <w:marRight w:val="0"/>
          <w:marTop w:val="0"/>
          <w:marBottom w:val="0"/>
          <w:divBdr>
            <w:top w:val="none" w:sz="0" w:space="0" w:color="auto"/>
            <w:left w:val="none" w:sz="0" w:space="0" w:color="auto"/>
            <w:bottom w:val="none" w:sz="0" w:space="0" w:color="auto"/>
            <w:right w:val="none" w:sz="0" w:space="0" w:color="auto"/>
          </w:divBdr>
        </w:div>
        <w:div w:id="1168792563">
          <w:marLeft w:val="0"/>
          <w:marRight w:val="0"/>
          <w:marTop w:val="0"/>
          <w:marBottom w:val="0"/>
          <w:divBdr>
            <w:top w:val="none" w:sz="0" w:space="0" w:color="auto"/>
            <w:left w:val="none" w:sz="0" w:space="0" w:color="auto"/>
            <w:bottom w:val="none" w:sz="0" w:space="0" w:color="auto"/>
            <w:right w:val="none" w:sz="0" w:space="0" w:color="auto"/>
          </w:divBdr>
        </w:div>
        <w:div w:id="446120568">
          <w:marLeft w:val="0"/>
          <w:marRight w:val="0"/>
          <w:marTop w:val="0"/>
          <w:marBottom w:val="0"/>
          <w:divBdr>
            <w:top w:val="none" w:sz="0" w:space="0" w:color="auto"/>
            <w:left w:val="none" w:sz="0" w:space="0" w:color="auto"/>
            <w:bottom w:val="none" w:sz="0" w:space="0" w:color="auto"/>
            <w:right w:val="none" w:sz="0" w:space="0" w:color="auto"/>
          </w:divBdr>
        </w:div>
        <w:div w:id="306469768">
          <w:marLeft w:val="0"/>
          <w:marRight w:val="0"/>
          <w:marTop w:val="0"/>
          <w:marBottom w:val="0"/>
          <w:divBdr>
            <w:top w:val="none" w:sz="0" w:space="0" w:color="auto"/>
            <w:left w:val="none" w:sz="0" w:space="0" w:color="auto"/>
            <w:bottom w:val="none" w:sz="0" w:space="0" w:color="auto"/>
            <w:right w:val="none" w:sz="0" w:space="0" w:color="auto"/>
          </w:divBdr>
        </w:div>
        <w:div w:id="153499405">
          <w:marLeft w:val="0"/>
          <w:marRight w:val="0"/>
          <w:marTop w:val="0"/>
          <w:marBottom w:val="0"/>
          <w:divBdr>
            <w:top w:val="none" w:sz="0" w:space="0" w:color="auto"/>
            <w:left w:val="none" w:sz="0" w:space="0" w:color="auto"/>
            <w:bottom w:val="none" w:sz="0" w:space="0" w:color="auto"/>
            <w:right w:val="none" w:sz="0" w:space="0" w:color="auto"/>
          </w:divBdr>
        </w:div>
        <w:div w:id="2055033297">
          <w:marLeft w:val="0"/>
          <w:marRight w:val="0"/>
          <w:marTop w:val="0"/>
          <w:marBottom w:val="0"/>
          <w:divBdr>
            <w:top w:val="none" w:sz="0" w:space="0" w:color="auto"/>
            <w:left w:val="none" w:sz="0" w:space="0" w:color="auto"/>
            <w:bottom w:val="none" w:sz="0" w:space="0" w:color="auto"/>
            <w:right w:val="none" w:sz="0" w:space="0" w:color="auto"/>
          </w:divBdr>
        </w:div>
        <w:div w:id="1568833425">
          <w:marLeft w:val="0"/>
          <w:marRight w:val="0"/>
          <w:marTop w:val="0"/>
          <w:marBottom w:val="0"/>
          <w:divBdr>
            <w:top w:val="none" w:sz="0" w:space="0" w:color="auto"/>
            <w:left w:val="none" w:sz="0" w:space="0" w:color="auto"/>
            <w:bottom w:val="none" w:sz="0" w:space="0" w:color="auto"/>
            <w:right w:val="none" w:sz="0" w:space="0" w:color="auto"/>
          </w:divBdr>
        </w:div>
        <w:div w:id="431630732">
          <w:marLeft w:val="0"/>
          <w:marRight w:val="0"/>
          <w:marTop w:val="0"/>
          <w:marBottom w:val="0"/>
          <w:divBdr>
            <w:top w:val="none" w:sz="0" w:space="0" w:color="auto"/>
            <w:left w:val="none" w:sz="0" w:space="0" w:color="auto"/>
            <w:bottom w:val="none" w:sz="0" w:space="0" w:color="auto"/>
            <w:right w:val="none" w:sz="0" w:space="0" w:color="auto"/>
          </w:divBdr>
        </w:div>
        <w:div w:id="2054499651">
          <w:marLeft w:val="0"/>
          <w:marRight w:val="0"/>
          <w:marTop w:val="0"/>
          <w:marBottom w:val="0"/>
          <w:divBdr>
            <w:top w:val="none" w:sz="0" w:space="0" w:color="auto"/>
            <w:left w:val="none" w:sz="0" w:space="0" w:color="auto"/>
            <w:bottom w:val="none" w:sz="0" w:space="0" w:color="auto"/>
            <w:right w:val="none" w:sz="0" w:space="0" w:color="auto"/>
          </w:divBdr>
        </w:div>
        <w:div w:id="99766457">
          <w:marLeft w:val="0"/>
          <w:marRight w:val="0"/>
          <w:marTop w:val="0"/>
          <w:marBottom w:val="0"/>
          <w:divBdr>
            <w:top w:val="none" w:sz="0" w:space="0" w:color="auto"/>
            <w:left w:val="none" w:sz="0" w:space="0" w:color="auto"/>
            <w:bottom w:val="none" w:sz="0" w:space="0" w:color="auto"/>
            <w:right w:val="none" w:sz="0" w:space="0" w:color="auto"/>
          </w:divBdr>
        </w:div>
        <w:div w:id="2045015812">
          <w:marLeft w:val="0"/>
          <w:marRight w:val="0"/>
          <w:marTop w:val="0"/>
          <w:marBottom w:val="0"/>
          <w:divBdr>
            <w:top w:val="none" w:sz="0" w:space="0" w:color="auto"/>
            <w:left w:val="none" w:sz="0" w:space="0" w:color="auto"/>
            <w:bottom w:val="none" w:sz="0" w:space="0" w:color="auto"/>
            <w:right w:val="none" w:sz="0" w:space="0" w:color="auto"/>
          </w:divBdr>
        </w:div>
        <w:div w:id="106242866">
          <w:marLeft w:val="0"/>
          <w:marRight w:val="0"/>
          <w:marTop w:val="0"/>
          <w:marBottom w:val="0"/>
          <w:divBdr>
            <w:top w:val="none" w:sz="0" w:space="0" w:color="auto"/>
            <w:left w:val="none" w:sz="0" w:space="0" w:color="auto"/>
            <w:bottom w:val="none" w:sz="0" w:space="0" w:color="auto"/>
            <w:right w:val="none" w:sz="0" w:space="0" w:color="auto"/>
          </w:divBdr>
        </w:div>
        <w:div w:id="1075393602">
          <w:marLeft w:val="0"/>
          <w:marRight w:val="0"/>
          <w:marTop w:val="0"/>
          <w:marBottom w:val="0"/>
          <w:divBdr>
            <w:top w:val="none" w:sz="0" w:space="0" w:color="auto"/>
            <w:left w:val="none" w:sz="0" w:space="0" w:color="auto"/>
            <w:bottom w:val="none" w:sz="0" w:space="0" w:color="auto"/>
            <w:right w:val="none" w:sz="0" w:space="0" w:color="auto"/>
          </w:divBdr>
        </w:div>
        <w:div w:id="1673681204">
          <w:marLeft w:val="0"/>
          <w:marRight w:val="0"/>
          <w:marTop w:val="0"/>
          <w:marBottom w:val="0"/>
          <w:divBdr>
            <w:top w:val="none" w:sz="0" w:space="0" w:color="auto"/>
            <w:left w:val="none" w:sz="0" w:space="0" w:color="auto"/>
            <w:bottom w:val="none" w:sz="0" w:space="0" w:color="auto"/>
            <w:right w:val="none" w:sz="0" w:space="0" w:color="auto"/>
          </w:divBdr>
        </w:div>
        <w:div w:id="1218470305">
          <w:marLeft w:val="0"/>
          <w:marRight w:val="0"/>
          <w:marTop w:val="0"/>
          <w:marBottom w:val="0"/>
          <w:divBdr>
            <w:top w:val="none" w:sz="0" w:space="0" w:color="auto"/>
            <w:left w:val="none" w:sz="0" w:space="0" w:color="auto"/>
            <w:bottom w:val="none" w:sz="0" w:space="0" w:color="auto"/>
            <w:right w:val="none" w:sz="0" w:space="0" w:color="auto"/>
          </w:divBdr>
        </w:div>
        <w:div w:id="155537144">
          <w:marLeft w:val="0"/>
          <w:marRight w:val="0"/>
          <w:marTop w:val="0"/>
          <w:marBottom w:val="0"/>
          <w:divBdr>
            <w:top w:val="none" w:sz="0" w:space="0" w:color="auto"/>
            <w:left w:val="none" w:sz="0" w:space="0" w:color="auto"/>
            <w:bottom w:val="none" w:sz="0" w:space="0" w:color="auto"/>
            <w:right w:val="none" w:sz="0" w:space="0" w:color="auto"/>
          </w:divBdr>
        </w:div>
        <w:div w:id="762258505">
          <w:marLeft w:val="0"/>
          <w:marRight w:val="0"/>
          <w:marTop w:val="0"/>
          <w:marBottom w:val="0"/>
          <w:divBdr>
            <w:top w:val="none" w:sz="0" w:space="0" w:color="auto"/>
            <w:left w:val="none" w:sz="0" w:space="0" w:color="auto"/>
            <w:bottom w:val="none" w:sz="0" w:space="0" w:color="auto"/>
            <w:right w:val="none" w:sz="0" w:space="0" w:color="auto"/>
          </w:divBdr>
        </w:div>
        <w:div w:id="530919074">
          <w:marLeft w:val="0"/>
          <w:marRight w:val="0"/>
          <w:marTop w:val="0"/>
          <w:marBottom w:val="0"/>
          <w:divBdr>
            <w:top w:val="none" w:sz="0" w:space="0" w:color="auto"/>
            <w:left w:val="none" w:sz="0" w:space="0" w:color="auto"/>
            <w:bottom w:val="none" w:sz="0" w:space="0" w:color="auto"/>
            <w:right w:val="none" w:sz="0" w:space="0" w:color="auto"/>
          </w:divBdr>
        </w:div>
        <w:div w:id="192110976">
          <w:marLeft w:val="0"/>
          <w:marRight w:val="0"/>
          <w:marTop w:val="0"/>
          <w:marBottom w:val="0"/>
          <w:divBdr>
            <w:top w:val="none" w:sz="0" w:space="0" w:color="auto"/>
            <w:left w:val="none" w:sz="0" w:space="0" w:color="auto"/>
            <w:bottom w:val="none" w:sz="0" w:space="0" w:color="auto"/>
            <w:right w:val="none" w:sz="0" w:space="0" w:color="auto"/>
          </w:divBdr>
        </w:div>
        <w:div w:id="229465694">
          <w:marLeft w:val="0"/>
          <w:marRight w:val="0"/>
          <w:marTop w:val="0"/>
          <w:marBottom w:val="0"/>
          <w:divBdr>
            <w:top w:val="none" w:sz="0" w:space="0" w:color="auto"/>
            <w:left w:val="none" w:sz="0" w:space="0" w:color="auto"/>
            <w:bottom w:val="none" w:sz="0" w:space="0" w:color="auto"/>
            <w:right w:val="none" w:sz="0" w:space="0" w:color="auto"/>
          </w:divBdr>
        </w:div>
        <w:div w:id="1750272563">
          <w:marLeft w:val="0"/>
          <w:marRight w:val="0"/>
          <w:marTop w:val="0"/>
          <w:marBottom w:val="0"/>
          <w:divBdr>
            <w:top w:val="none" w:sz="0" w:space="0" w:color="auto"/>
            <w:left w:val="none" w:sz="0" w:space="0" w:color="auto"/>
            <w:bottom w:val="none" w:sz="0" w:space="0" w:color="auto"/>
            <w:right w:val="none" w:sz="0" w:space="0" w:color="auto"/>
          </w:divBdr>
        </w:div>
      </w:divsChild>
    </w:div>
    <w:div w:id="1547135512">
      <w:bodyDiv w:val="1"/>
      <w:marLeft w:val="0"/>
      <w:marRight w:val="0"/>
      <w:marTop w:val="0"/>
      <w:marBottom w:val="0"/>
      <w:divBdr>
        <w:top w:val="none" w:sz="0" w:space="0" w:color="auto"/>
        <w:left w:val="none" w:sz="0" w:space="0" w:color="auto"/>
        <w:bottom w:val="none" w:sz="0" w:space="0" w:color="auto"/>
        <w:right w:val="none" w:sz="0" w:space="0" w:color="auto"/>
      </w:divBdr>
    </w:div>
    <w:div w:id="1596329920">
      <w:bodyDiv w:val="1"/>
      <w:marLeft w:val="0"/>
      <w:marRight w:val="0"/>
      <w:marTop w:val="0"/>
      <w:marBottom w:val="0"/>
      <w:divBdr>
        <w:top w:val="none" w:sz="0" w:space="0" w:color="auto"/>
        <w:left w:val="none" w:sz="0" w:space="0" w:color="auto"/>
        <w:bottom w:val="none" w:sz="0" w:space="0" w:color="auto"/>
        <w:right w:val="none" w:sz="0" w:space="0" w:color="auto"/>
      </w:divBdr>
    </w:div>
    <w:div w:id="1683700729">
      <w:bodyDiv w:val="1"/>
      <w:marLeft w:val="0"/>
      <w:marRight w:val="0"/>
      <w:marTop w:val="0"/>
      <w:marBottom w:val="0"/>
      <w:divBdr>
        <w:top w:val="none" w:sz="0" w:space="0" w:color="auto"/>
        <w:left w:val="none" w:sz="0" w:space="0" w:color="auto"/>
        <w:bottom w:val="none" w:sz="0" w:space="0" w:color="auto"/>
        <w:right w:val="none" w:sz="0" w:space="0" w:color="auto"/>
      </w:divBdr>
    </w:div>
    <w:div w:id="1788889471">
      <w:bodyDiv w:val="1"/>
      <w:marLeft w:val="0"/>
      <w:marRight w:val="0"/>
      <w:marTop w:val="0"/>
      <w:marBottom w:val="0"/>
      <w:divBdr>
        <w:top w:val="none" w:sz="0" w:space="0" w:color="auto"/>
        <w:left w:val="none" w:sz="0" w:space="0" w:color="auto"/>
        <w:bottom w:val="none" w:sz="0" w:space="0" w:color="auto"/>
        <w:right w:val="none" w:sz="0" w:space="0" w:color="auto"/>
      </w:divBdr>
    </w:div>
    <w:div w:id="1984893069">
      <w:bodyDiv w:val="1"/>
      <w:marLeft w:val="0"/>
      <w:marRight w:val="0"/>
      <w:marTop w:val="0"/>
      <w:marBottom w:val="0"/>
      <w:divBdr>
        <w:top w:val="none" w:sz="0" w:space="0" w:color="auto"/>
        <w:left w:val="none" w:sz="0" w:space="0" w:color="auto"/>
        <w:bottom w:val="none" w:sz="0" w:space="0" w:color="auto"/>
        <w:right w:val="none" w:sz="0" w:space="0" w:color="auto"/>
      </w:divBdr>
    </w:div>
    <w:div w:id="20071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Westley PhD</dc:creator>
  <cp:keywords/>
  <dc:description/>
  <cp:lastModifiedBy>Teresa De Toni</cp:lastModifiedBy>
  <cp:revision>18</cp:revision>
  <dcterms:created xsi:type="dcterms:W3CDTF">2025-12-18T19:25:00Z</dcterms:created>
  <dcterms:modified xsi:type="dcterms:W3CDTF">2026-03-27T20:19:00Z</dcterms:modified>
</cp:coreProperties>
</file>