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3FA4" w14:textId="13692980" w:rsidR="008536ED" w:rsidRPr="00B82D2D" w:rsidRDefault="008536ED" w:rsidP="008536ED">
      <w:pPr>
        <w:shd w:val="clear" w:color="auto" w:fill="FFFFFF"/>
        <w:outlineLvl w:val="1"/>
        <w:rPr>
          <w:b/>
          <w:bCs/>
          <w:sz w:val="36"/>
          <w:szCs w:val="36"/>
        </w:rPr>
      </w:pPr>
      <w:r w:rsidRPr="00B82D2D">
        <w:rPr>
          <w:b/>
          <w:bCs/>
          <w:color w:val="131314"/>
          <w:sz w:val="28"/>
          <w:szCs w:val="28"/>
        </w:rPr>
        <w:t>SUMMARY (</w:t>
      </w:r>
      <w:r w:rsidR="00825680">
        <w:rPr>
          <w:b/>
          <w:bCs/>
          <w:color w:val="131314"/>
          <w:sz w:val="28"/>
          <w:szCs w:val="28"/>
        </w:rPr>
        <w:t>Clinical</w:t>
      </w:r>
      <w:r w:rsidRPr="00B82D2D">
        <w:rPr>
          <w:b/>
          <w:bCs/>
          <w:color w:val="131314"/>
          <w:sz w:val="28"/>
          <w:szCs w:val="28"/>
        </w:rPr>
        <w:t xml:space="preserve">) </w:t>
      </w:r>
      <w:r w:rsidR="00076BBB">
        <w:rPr>
          <w:b/>
          <w:bCs/>
          <w:color w:val="131314"/>
          <w:sz w:val="28"/>
          <w:szCs w:val="28"/>
        </w:rPr>
        <w:t>0</w:t>
      </w:r>
      <w:r w:rsidR="00A433DD">
        <w:rPr>
          <w:b/>
          <w:bCs/>
          <w:color w:val="131314"/>
          <w:sz w:val="28"/>
          <w:szCs w:val="28"/>
        </w:rPr>
        <w:t>2</w:t>
      </w:r>
      <w:r w:rsidR="001D6C94">
        <w:rPr>
          <w:b/>
          <w:bCs/>
          <w:color w:val="131314"/>
          <w:sz w:val="28"/>
          <w:szCs w:val="28"/>
        </w:rPr>
        <w:t>/</w:t>
      </w:r>
      <w:r w:rsidR="004C2616">
        <w:rPr>
          <w:b/>
          <w:bCs/>
          <w:color w:val="131314"/>
          <w:sz w:val="28"/>
          <w:szCs w:val="28"/>
        </w:rPr>
        <w:t>19</w:t>
      </w:r>
      <w:r w:rsidRPr="00B82D2D">
        <w:rPr>
          <w:b/>
          <w:bCs/>
          <w:color w:val="131314"/>
          <w:sz w:val="28"/>
          <w:szCs w:val="28"/>
        </w:rPr>
        <w:t>/2</w:t>
      </w:r>
      <w:r w:rsidR="00076BBB">
        <w:rPr>
          <w:b/>
          <w:bCs/>
          <w:color w:val="131314"/>
          <w:sz w:val="28"/>
          <w:szCs w:val="28"/>
        </w:rPr>
        <w:t>6</w:t>
      </w:r>
      <w:r w:rsidR="006C5590">
        <w:rPr>
          <w:b/>
          <w:bCs/>
          <w:sz w:val="36"/>
          <w:szCs w:val="36"/>
        </w:rPr>
        <w:t xml:space="preserve"> </w:t>
      </w:r>
      <w:r w:rsidRPr="00B82D2D">
        <w:rPr>
          <w:b/>
          <w:bCs/>
          <w:color w:val="FF2F92"/>
          <w:sz w:val="28"/>
          <w:szCs w:val="28"/>
        </w:rPr>
        <w:t>ciT1zen science</w:t>
      </w:r>
    </w:p>
    <w:p w14:paraId="0E319AF6" w14:textId="77777777" w:rsidR="00822424" w:rsidRDefault="00822424">
      <w:pPr>
        <w:rPr>
          <w:color w:val="131314"/>
          <w:sz w:val="28"/>
          <w:szCs w:val="28"/>
        </w:rPr>
      </w:pPr>
    </w:p>
    <w:p w14:paraId="054E70BB" w14:textId="6E731D28" w:rsidR="006C5590" w:rsidRDefault="005F0E25">
      <w:pPr>
        <w:rPr>
          <w:b/>
          <w:bCs/>
          <w:color w:val="FF2F92"/>
          <w:sz w:val="20"/>
          <w:szCs w:val="20"/>
        </w:rPr>
      </w:pPr>
      <w:r w:rsidRPr="005F0E25">
        <w:rPr>
          <w:b/>
          <w:bCs/>
          <w:color w:val="131314"/>
          <w:sz w:val="20"/>
          <w:szCs w:val="20"/>
        </w:rPr>
        <w:t>Distinct Enterovirus Antigen Landscape in Children With Islet Autoimmunity</w:t>
      </w:r>
      <w:r>
        <w:rPr>
          <w:b/>
          <w:bCs/>
          <w:color w:val="131314"/>
          <w:sz w:val="20"/>
          <w:szCs w:val="20"/>
        </w:rPr>
        <w:t xml:space="preserve"> </w:t>
      </w:r>
      <w:r w:rsidR="006C5590" w:rsidRPr="006C5590">
        <w:rPr>
          <w:b/>
          <w:bCs/>
          <w:color w:val="FF2F92"/>
          <w:sz w:val="20"/>
          <w:szCs w:val="20"/>
        </w:rPr>
        <w:t>ciT1zen science</w:t>
      </w:r>
      <w:r w:rsidR="006C5590">
        <w:rPr>
          <w:b/>
          <w:bCs/>
          <w:color w:val="FF2F92"/>
          <w:sz w:val="20"/>
          <w:szCs w:val="20"/>
        </w:rPr>
        <w:t xml:space="preserve"> summary</w:t>
      </w:r>
    </w:p>
    <w:p w14:paraId="0B7CBAF5" w14:textId="77777777" w:rsidR="00076BBB" w:rsidRDefault="00076BBB">
      <w:pPr>
        <w:rPr>
          <w:b/>
          <w:bCs/>
          <w:color w:val="FF2F92"/>
          <w:sz w:val="20"/>
          <w:szCs w:val="20"/>
        </w:rPr>
      </w:pPr>
    </w:p>
    <w:p w14:paraId="3017C2FD" w14:textId="794A0180" w:rsidR="00076BBB" w:rsidRDefault="00076BBB">
      <w:pPr>
        <w:rPr>
          <w:color w:val="131314"/>
          <w:sz w:val="20"/>
          <w:szCs w:val="20"/>
        </w:rPr>
      </w:pPr>
      <w:r>
        <w:rPr>
          <w:b/>
          <w:bCs/>
          <w:color w:val="131314"/>
          <w:sz w:val="20"/>
          <w:szCs w:val="20"/>
        </w:rPr>
        <w:t xml:space="preserve">Source: </w:t>
      </w:r>
      <w:r>
        <w:rPr>
          <w:color w:val="131314"/>
          <w:sz w:val="20"/>
          <w:szCs w:val="20"/>
        </w:rPr>
        <w:t>Excerpts from “</w:t>
      </w:r>
      <w:r w:rsidR="005F0E25" w:rsidRPr="005F0E25">
        <w:rPr>
          <w:color w:val="131314"/>
          <w:sz w:val="20"/>
          <w:szCs w:val="20"/>
        </w:rPr>
        <w:t>Distinct Enterovirus Antigen Landscape in Children With Islet Autoimmunity</w:t>
      </w:r>
      <w:r w:rsidR="005F0E25">
        <w:rPr>
          <w:color w:val="131314"/>
          <w:sz w:val="20"/>
          <w:szCs w:val="20"/>
        </w:rPr>
        <w:t xml:space="preserve"> </w:t>
      </w:r>
      <w:r w:rsidR="00D46EDE">
        <w:rPr>
          <w:color w:val="131314"/>
          <w:sz w:val="20"/>
          <w:szCs w:val="20"/>
        </w:rPr>
        <w:t>|</w:t>
      </w:r>
      <w:r w:rsidR="00112D6D">
        <w:rPr>
          <w:color w:val="131314"/>
          <w:sz w:val="20"/>
          <w:szCs w:val="20"/>
        </w:rPr>
        <w:t xml:space="preserve"> </w:t>
      </w:r>
      <w:r w:rsidR="00A433DD" w:rsidRPr="00A433DD">
        <w:rPr>
          <w:color w:val="131314"/>
          <w:sz w:val="20"/>
          <w:szCs w:val="20"/>
        </w:rPr>
        <w:t>Diabetes</w:t>
      </w:r>
      <w:r>
        <w:rPr>
          <w:color w:val="131314"/>
          <w:sz w:val="20"/>
          <w:szCs w:val="20"/>
        </w:rPr>
        <w:t>”</w:t>
      </w:r>
    </w:p>
    <w:p w14:paraId="3D29C32E" w14:textId="0C61089B" w:rsidR="00076BBB" w:rsidRPr="00112D6D" w:rsidRDefault="00076BBB">
      <w:pPr>
        <w:rPr>
          <w:color w:val="131314"/>
          <w:sz w:val="20"/>
          <w:szCs w:val="20"/>
        </w:rPr>
      </w:pPr>
      <w:r>
        <w:rPr>
          <w:b/>
          <w:bCs/>
          <w:color w:val="131314"/>
          <w:sz w:val="20"/>
          <w:szCs w:val="20"/>
        </w:rPr>
        <w:t xml:space="preserve">Published: </w:t>
      </w:r>
      <w:r w:rsidR="005F0E25">
        <w:rPr>
          <w:color w:val="131314"/>
          <w:sz w:val="20"/>
          <w:szCs w:val="20"/>
        </w:rPr>
        <w:t>9</w:t>
      </w:r>
      <w:r w:rsidR="00143B82">
        <w:rPr>
          <w:b/>
          <w:bCs/>
          <w:color w:val="131314"/>
          <w:sz w:val="20"/>
          <w:szCs w:val="20"/>
        </w:rPr>
        <w:t xml:space="preserve"> </w:t>
      </w:r>
      <w:r w:rsidR="005F0E25">
        <w:rPr>
          <w:color w:val="131314"/>
          <w:sz w:val="20"/>
          <w:szCs w:val="20"/>
        </w:rPr>
        <w:t>February</w:t>
      </w:r>
      <w:r w:rsidR="00112D6D">
        <w:rPr>
          <w:color w:val="131314"/>
          <w:sz w:val="20"/>
          <w:szCs w:val="20"/>
        </w:rPr>
        <w:t xml:space="preserve"> 2026</w:t>
      </w:r>
    </w:p>
    <w:p w14:paraId="03CAE661" w14:textId="59954D35" w:rsidR="005F0E25" w:rsidRPr="005F0E25" w:rsidRDefault="00076BBB" w:rsidP="005F0E25">
      <w:pPr>
        <w:rPr>
          <w:color w:val="131314"/>
          <w:sz w:val="20"/>
          <w:szCs w:val="20"/>
        </w:rPr>
      </w:pPr>
      <w:r w:rsidRPr="00076BBB">
        <w:rPr>
          <w:b/>
          <w:bCs/>
          <w:color w:val="131314"/>
          <w:sz w:val="20"/>
          <w:szCs w:val="20"/>
        </w:rPr>
        <w:t xml:space="preserve">Authors: </w:t>
      </w:r>
      <w:r w:rsidR="005F0E25" w:rsidRPr="005F0E25">
        <w:rPr>
          <w:color w:val="131314"/>
          <w:sz w:val="20"/>
          <w:szCs w:val="20"/>
        </w:rPr>
        <w:t>Beatriz Delgado-Corrales, Legana Fingerhut, Preston Leung, Cynthia S. A. Yau, Charles S. P. Foster,</w:t>
      </w:r>
    </w:p>
    <w:p w14:paraId="4F97A45D" w14:textId="0F01AC1A" w:rsidR="00076BBB" w:rsidRPr="005F0E25" w:rsidRDefault="005F0E25" w:rsidP="005F0E25">
      <w:pPr>
        <w:rPr>
          <w:color w:val="131314"/>
          <w:sz w:val="20"/>
          <w:szCs w:val="20"/>
        </w:rPr>
      </w:pPr>
      <w:r w:rsidRPr="005F0E25">
        <w:rPr>
          <w:color w:val="131314"/>
          <w:sz w:val="20"/>
          <w:szCs w:val="20"/>
        </w:rPr>
        <w:t>Emily J. Ward, Dylan B. Foskett, Aakash Annadurai, Simon C. Barry, Peter G. Colman,</w:t>
      </w:r>
      <w:r>
        <w:rPr>
          <w:color w:val="131314"/>
          <w:sz w:val="20"/>
          <w:szCs w:val="20"/>
        </w:rPr>
        <w:t xml:space="preserve"> </w:t>
      </w:r>
      <w:r w:rsidRPr="005F0E25">
        <w:rPr>
          <w:color w:val="131314"/>
          <w:sz w:val="20"/>
          <w:szCs w:val="20"/>
        </w:rPr>
        <w:t>Jennifer J. Couper,</w:t>
      </w:r>
      <w:r>
        <w:rPr>
          <w:color w:val="131314"/>
          <w:sz w:val="20"/>
          <w:szCs w:val="20"/>
        </w:rPr>
        <w:t xml:space="preserve"> </w:t>
      </w:r>
      <w:r w:rsidRPr="005F0E25">
        <w:rPr>
          <w:color w:val="131314"/>
          <w:sz w:val="20"/>
          <w:szCs w:val="20"/>
        </w:rPr>
        <w:t>Elizabeth A. Davis, Emma E. Hamilton-Williams, Leonard C. Harrison,</w:t>
      </w:r>
      <w:r>
        <w:rPr>
          <w:color w:val="131314"/>
          <w:sz w:val="20"/>
          <w:szCs w:val="20"/>
        </w:rPr>
        <w:t xml:space="preserve"> </w:t>
      </w:r>
      <w:r w:rsidRPr="005F0E25">
        <w:rPr>
          <w:color w:val="131314"/>
          <w:sz w:val="20"/>
          <w:szCs w:val="20"/>
        </w:rPr>
        <w:t>Aveni Haynes, Tony Huynh, Kelly J. McGorm</w:t>
      </w:r>
      <w:r>
        <w:rPr>
          <w:color w:val="131314"/>
          <w:sz w:val="20"/>
          <w:szCs w:val="20"/>
        </w:rPr>
        <w:t>,</w:t>
      </w:r>
      <w:r w:rsidRPr="005F0E25">
        <w:rPr>
          <w:color w:val="131314"/>
          <w:sz w:val="20"/>
          <w:szCs w:val="20"/>
        </w:rPr>
        <w:t xml:space="preserve"> Grant Morahan,</w:t>
      </w:r>
      <w:r>
        <w:rPr>
          <w:color w:val="131314"/>
          <w:sz w:val="20"/>
          <w:szCs w:val="20"/>
        </w:rPr>
        <w:t xml:space="preserve"> </w:t>
      </w:r>
      <w:r w:rsidRPr="005F0E25">
        <w:rPr>
          <w:color w:val="131314"/>
          <w:sz w:val="20"/>
          <w:szCs w:val="20"/>
        </w:rPr>
        <w:t>Helena Oakey</w:t>
      </w:r>
      <w:r>
        <w:rPr>
          <w:color w:val="131314"/>
          <w:sz w:val="20"/>
          <w:szCs w:val="20"/>
        </w:rPr>
        <w:t xml:space="preserve">, </w:t>
      </w:r>
      <w:r w:rsidRPr="005F0E25">
        <w:rPr>
          <w:color w:val="131314"/>
          <w:sz w:val="20"/>
          <w:szCs w:val="20"/>
        </w:rPr>
        <w:t>Megan A. S. Penno, Georgia Soldatos, Rebecca L. Thomson, Jason A. Tye-Din,</w:t>
      </w:r>
      <w:r>
        <w:rPr>
          <w:color w:val="131314"/>
          <w:sz w:val="20"/>
          <w:szCs w:val="20"/>
        </w:rPr>
        <w:t xml:space="preserve"> </w:t>
      </w:r>
      <w:r w:rsidRPr="005F0E25">
        <w:rPr>
          <w:color w:val="131314"/>
          <w:sz w:val="20"/>
          <w:szCs w:val="20"/>
        </w:rPr>
        <w:t>Peter J. Vuillermin, John M. Wentworth, Marc R. Wilkins, Jutta E. Laiho, Heikki Hyöty,</w:t>
      </w:r>
      <w:r>
        <w:rPr>
          <w:color w:val="131314"/>
          <w:sz w:val="20"/>
          <w:szCs w:val="20"/>
        </w:rPr>
        <w:t xml:space="preserve"> </w:t>
      </w:r>
      <w:r w:rsidRPr="005F0E25">
        <w:rPr>
          <w:color w:val="131314"/>
          <w:sz w:val="20"/>
          <w:szCs w:val="20"/>
        </w:rPr>
        <w:t>William D. Rawlinson,</w:t>
      </w:r>
      <w:r>
        <w:rPr>
          <w:color w:val="131314"/>
          <w:sz w:val="20"/>
          <w:szCs w:val="20"/>
        </w:rPr>
        <w:t xml:space="preserve"> </w:t>
      </w:r>
      <w:r w:rsidRPr="005F0E25">
        <w:rPr>
          <w:color w:val="131314"/>
          <w:sz w:val="20"/>
          <w:szCs w:val="20"/>
        </w:rPr>
        <w:t>Maria E. Craig, and Ki Wook Kim</w:t>
      </w:r>
    </w:p>
    <w:p w14:paraId="10ECDFA9" w14:textId="77777777" w:rsidR="00A433DD" w:rsidRDefault="00A433DD" w:rsidP="00A433DD">
      <w:pPr>
        <w:rPr>
          <w:b/>
          <w:bCs/>
          <w:color w:val="131314"/>
          <w:sz w:val="20"/>
          <w:szCs w:val="20"/>
        </w:rPr>
      </w:pPr>
      <w:r>
        <w:rPr>
          <w:b/>
          <w:bCs/>
          <w:color w:val="131314"/>
          <w:sz w:val="20"/>
          <w:szCs w:val="20"/>
        </w:rPr>
        <w:t>Summary:</w:t>
      </w:r>
    </w:p>
    <w:p w14:paraId="088BBD05" w14:textId="77777777" w:rsidR="005F0E25" w:rsidRPr="005F0E25" w:rsidRDefault="005F0E25" w:rsidP="005F0E25">
      <w:pPr>
        <w:jc w:val="both"/>
        <w:rPr>
          <w:color w:val="131314"/>
          <w:sz w:val="20"/>
          <w:szCs w:val="20"/>
        </w:rPr>
      </w:pPr>
      <w:r w:rsidRPr="005F0E25">
        <w:rPr>
          <w:color w:val="131314"/>
          <w:sz w:val="20"/>
          <w:szCs w:val="20"/>
        </w:rPr>
        <w:t>Recent research into the environmental triggers of type 1 diabetes (T1D) has identified a distinct enterovirus (EV) antibody signature in children at the onset of islet autoimmunity (IA). By analyzing two independent Australian pediatric cohorts—the Viruses in the Genetically at Risk (VIGR) and the Environmental Determinants of Islet Autoimmunity (ENDIA) cohorts—researchers found that differential host immune responses, rather than the mere presence of specific EV infections, are central to IA development.</w:t>
      </w:r>
    </w:p>
    <w:p w14:paraId="73DF2A87" w14:textId="77777777" w:rsidR="005F0E25" w:rsidRPr="005F0E25" w:rsidRDefault="005F0E25" w:rsidP="005F0E25">
      <w:pPr>
        <w:jc w:val="both"/>
        <w:rPr>
          <w:color w:val="131314"/>
          <w:sz w:val="20"/>
          <w:szCs w:val="20"/>
        </w:rPr>
      </w:pPr>
      <w:r w:rsidRPr="005F0E25">
        <w:rPr>
          <w:color w:val="131314"/>
          <w:sz w:val="20"/>
          <w:szCs w:val="20"/>
        </w:rPr>
        <w:t>Critical findings include the identification of two immunogenic "hotspots" within the enterovirus polyprotein:</w:t>
      </w:r>
    </w:p>
    <w:p w14:paraId="536F6258" w14:textId="77777777" w:rsidR="005F0E25" w:rsidRPr="005F0E25" w:rsidRDefault="005F0E25" w:rsidP="005F0E25">
      <w:pPr>
        <w:numPr>
          <w:ilvl w:val="0"/>
          <w:numId w:val="63"/>
        </w:numPr>
        <w:jc w:val="both"/>
        <w:rPr>
          <w:color w:val="131314"/>
          <w:sz w:val="20"/>
          <w:szCs w:val="20"/>
        </w:rPr>
      </w:pPr>
      <w:r w:rsidRPr="005F0E25">
        <w:rPr>
          <w:b/>
          <w:bCs/>
          <w:color w:val="131314"/>
          <w:sz w:val="20"/>
          <w:szCs w:val="20"/>
        </w:rPr>
        <w:t>3D Region (RNA-dependent RNA polymerase):</w:t>
      </w:r>
      <w:r w:rsidRPr="005F0E25">
        <w:rPr>
          <w:color w:val="131314"/>
          <w:sz w:val="20"/>
          <w:szCs w:val="20"/>
        </w:rPr>
        <w:t> A highly conserved motif (PSVF) was consistently enriched in IA-positive children across both cohorts and both sexes.</w:t>
      </w:r>
    </w:p>
    <w:p w14:paraId="731CB9FC" w14:textId="77777777" w:rsidR="005F0E25" w:rsidRPr="005F0E25" w:rsidRDefault="005F0E25" w:rsidP="005F0E25">
      <w:pPr>
        <w:numPr>
          <w:ilvl w:val="0"/>
          <w:numId w:val="63"/>
        </w:numPr>
        <w:jc w:val="both"/>
        <w:rPr>
          <w:color w:val="131314"/>
          <w:sz w:val="20"/>
          <w:szCs w:val="20"/>
        </w:rPr>
      </w:pPr>
      <w:r w:rsidRPr="005F0E25">
        <w:rPr>
          <w:b/>
          <w:bCs/>
          <w:color w:val="131314"/>
          <w:sz w:val="20"/>
          <w:szCs w:val="20"/>
        </w:rPr>
        <w:t>VP1 Region (Capsid Protein):</w:t>
      </w:r>
      <w:r w:rsidRPr="005F0E25">
        <w:rPr>
          <w:color w:val="131314"/>
          <w:sz w:val="20"/>
          <w:szCs w:val="20"/>
        </w:rPr>
        <w:t> A specific motif (PAL) showed significantly heightened antibody responses specifically in male children with IA, suggesting sex-specific antiviral immunity plays a role in early disease onset.</w:t>
      </w:r>
    </w:p>
    <w:p w14:paraId="3017E798" w14:textId="77777777" w:rsidR="005F0E25" w:rsidRPr="005F0E25" w:rsidRDefault="005F0E25" w:rsidP="005F0E25">
      <w:pPr>
        <w:jc w:val="both"/>
        <w:rPr>
          <w:color w:val="131314"/>
          <w:sz w:val="20"/>
          <w:szCs w:val="20"/>
        </w:rPr>
      </w:pPr>
      <w:r w:rsidRPr="005F0E25">
        <w:rPr>
          <w:color w:val="131314"/>
          <w:sz w:val="20"/>
          <w:szCs w:val="20"/>
        </w:rPr>
        <w:t>These results challenge the traditional focus on specific viral serotypes, suggesting instead that the host’s unique humoral response to conserved viral regions drives the autoimmune process.</w:t>
      </w:r>
    </w:p>
    <w:p w14:paraId="7D8FE2A9" w14:textId="77777777" w:rsidR="005F0E25" w:rsidRPr="005F0E25" w:rsidRDefault="005F0E25" w:rsidP="005F0E25">
      <w:pPr>
        <w:jc w:val="both"/>
        <w:rPr>
          <w:b/>
          <w:bCs/>
          <w:color w:val="131314"/>
          <w:sz w:val="20"/>
          <w:szCs w:val="20"/>
        </w:rPr>
      </w:pPr>
      <w:r w:rsidRPr="005F0E25">
        <w:rPr>
          <w:b/>
          <w:bCs/>
          <w:color w:val="131314"/>
          <w:sz w:val="20"/>
          <w:szCs w:val="20"/>
        </w:rPr>
        <w:t>Overview of Islet Autoimmunity and Enteroviruses</w:t>
      </w:r>
    </w:p>
    <w:p w14:paraId="13F758EB" w14:textId="77777777" w:rsidR="005F0E25" w:rsidRPr="005F0E25" w:rsidRDefault="005F0E25" w:rsidP="005F0E25">
      <w:pPr>
        <w:jc w:val="both"/>
        <w:rPr>
          <w:color w:val="131314"/>
          <w:sz w:val="20"/>
          <w:szCs w:val="20"/>
        </w:rPr>
      </w:pPr>
      <w:r w:rsidRPr="005F0E25">
        <w:rPr>
          <w:color w:val="131314"/>
          <w:sz w:val="20"/>
          <w:szCs w:val="20"/>
        </w:rPr>
        <w:t>Type 1 diabetes is a chronic autoimmune disorder characterized by the destruction of insulin-producing \beta-cells. Islet autoimmunity (IA), marked by the presence of pancreatic islet autoantibodies, serves as a critical precursor to clinical T1D. While genetic factors are significant, they do not fully explain T1D outcomes, leading researchers to investigate environmental drivers.</w:t>
      </w:r>
    </w:p>
    <w:p w14:paraId="131AFC07" w14:textId="77777777" w:rsidR="005F0E25" w:rsidRPr="005F0E25" w:rsidRDefault="005F0E25" w:rsidP="005F0E25">
      <w:pPr>
        <w:jc w:val="both"/>
        <w:rPr>
          <w:color w:val="131314"/>
          <w:sz w:val="20"/>
          <w:szCs w:val="20"/>
        </w:rPr>
      </w:pPr>
      <w:r w:rsidRPr="005F0E25">
        <w:rPr>
          <w:color w:val="131314"/>
          <w:sz w:val="20"/>
          <w:szCs w:val="20"/>
        </w:rPr>
        <w:t>Enteroviruses have long been associated with IA and T1D. Proposed mechanisms for viral-induced \beta-cell death include:</w:t>
      </w:r>
    </w:p>
    <w:p w14:paraId="0D43450E" w14:textId="77777777" w:rsidR="005F0E25" w:rsidRPr="005F0E25" w:rsidRDefault="005F0E25" w:rsidP="005F0E25">
      <w:pPr>
        <w:numPr>
          <w:ilvl w:val="0"/>
          <w:numId w:val="64"/>
        </w:numPr>
        <w:jc w:val="both"/>
        <w:rPr>
          <w:color w:val="131314"/>
          <w:sz w:val="20"/>
          <w:szCs w:val="20"/>
        </w:rPr>
      </w:pPr>
      <w:r w:rsidRPr="005F0E25">
        <w:rPr>
          <w:b/>
          <w:bCs/>
          <w:color w:val="131314"/>
          <w:sz w:val="20"/>
          <w:szCs w:val="20"/>
        </w:rPr>
        <w:t>Molecular Mimicry:</w:t>
      </w:r>
      <w:r w:rsidRPr="005F0E25">
        <w:rPr>
          <w:color w:val="131314"/>
          <w:sz w:val="20"/>
          <w:szCs w:val="20"/>
        </w:rPr>
        <w:t> Viral antigens resembling self-antigens.</w:t>
      </w:r>
    </w:p>
    <w:p w14:paraId="68BCD983" w14:textId="77777777" w:rsidR="005F0E25" w:rsidRPr="005F0E25" w:rsidRDefault="005F0E25" w:rsidP="005F0E25">
      <w:pPr>
        <w:numPr>
          <w:ilvl w:val="0"/>
          <w:numId w:val="64"/>
        </w:numPr>
        <w:jc w:val="both"/>
        <w:rPr>
          <w:color w:val="131314"/>
          <w:sz w:val="20"/>
          <w:szCs w:val="20"/>
        </w:rPr>
      </w:pPr>
      <w:r w:rsidRPr="005F0E25">
        <w:rPr>
          <w:b/>
          <w:bCs/>
          <w:color w:val="131314"/>
          <w:sz w:val="20"/>
          <w:szCs w:val="20"/>
        </w:rPr>
        <w:t>Direct Infection:</w:t>
      </w:r>
      <w:r w:rsidRPr="005F0E25">
        <w:rPr>
          <w:color w:val="131314"/>
          <w:sz w:val="20"/>
          <w:szCs w:val="20"/>
        </w:rPr>
        <w:t> Viral damage to \beta-cells leading to the release of self-antigens in an inflammatory environment.</w:t>
      </w:r>
    </w:p>
    <w:p w14:paraId="2FF175F8" w14:textId="77777777" w:rsidR="005F0E25" w:rsidRPr="005F0E25" w:rsidRDefault="005F0E25" w:rsidP="005F0E25">
      <w:pPr>
        <w:jc w:val="both"/>
        <w:rPr>
          <w:color w:val="131314"/>
          <w:sz w:val="20"/>
          <w:szCs w:val="20"/>
        </w:rPr>
      </w:pPr>
      <w:r w:rsidRPr="005F0E25">
        <w:rPr>
          <w:color w:val="131314"/>
          <w:sz w:val="20"/>
          <w:szCs w:val="20"/>
        </w:rPr>
        <w:t>Despite decades of research, the specific role of EVs remained unclear due to their ubiquity in childhood. This study shifts the focus from viral exposure to host-specific immune responses.</w:t>
      </w:r>
    </w:p>
    <w:p w14:paraId="1A8D2477" w14:textId="77777777" w:rsidR="005F0E25" w:rsidRPr="005F0E25" w:rsidRDefault="005F0E25" w:rsidP="005F0E25">
      <w:pPr>
        <w:jc w:val="both"/>
        <w:rPr>
          <w:b/>
          <w:bCs/>
          <w:color w:val="131314"/>
          <w:sz w:val="20"/>
          <w:szCs w:val="20"/>
        </w:rPr>
      </w:pPr>
      <w:r w:rsidRPr="005F0E25">
        <w:rPr>
          <w:b/>
          <w:bCs/>
          <w:color w:val="131314"/>
          <w:sz w:val="20"/>
          <w:szCs w:val="20"/>
        </w:rPr>
        <w:t>Study Design and Methodology</w:t>
      </w:r>
    </w:p>
    <w:p w14:paraId="33BCB356" w14:textId="77777777" w:rsidR="005F0E25" w:rsidRPr="005F0E25" w:rsidRDefault="005F0E25" w:rsidP="005F0E25">
      <w:pPr>
        <w:jc w:val="both"/>
        <w:rPr>
          <w:color w:val="131314"/>
          <w:sz w:val="20"/>
          <w:szCs w:val="20"/>
        </w:rPr>
      </w:pPr>
      <w:r w:rsidRPr="005F0E25">
        <w:rPr>
          <w:color w:val="131314"/>
          <w:sz w:val="20"/>
          <w:szCs w:val="20"/>
        </w:rPr>
        <w:t>The research utilized a cross-sectional approach comparing IA-positive "case" children to IA-negative "control" children at the point of seroconversion.</w:t>
      </w:r>
    </w:p>
    <w:p w14:paraId="6938B65E" w14:textId="77777777" w:rsidR="005F0E25" w:rsidRPr="005F0E25" w:rsidRDefault="005F0E25" w:rsidP="005F0E25">
      <w:pPr>
        <w:jc w:val="both"/>
        <w:rPr>
          <w:b/>
          <w:bCs/>
          <w:color w:val="131314"/>
          <w:sz w:val="20"/>
          <w:szCs w:val="20"/>
        </w:rPr>
      </w:pPr>
      <w:r w:rsidRPr="005F0E25">
        <w:rPr>
          <w:b/>
          <w:bCs/>
          <w:color w:val="131314"/>
          <w:sz w:val="20"/>
          <w:szCs w:val="20"/>
        </w:rPr>
        <w:t>Participant Cohorts</w:t>
      </w:r>
    </w:p>
    <w:p w14:paraId="3FB922F8" w14:textId="77777777" w:rsidR="005F0E25" w:rsidRPr="005F0E25" w:rsidRDefault="005F0E25" w:rsidP="005F0E25">
      <w:pPr>
        <w:jc w:val="both"/>
        <w:rPr>
          <w:color w:val="131314"/>
          <w:sz w:val="20"/>
          <w:szCs w:val="20"/>
        </w:rPr>
      </w:pPr>
      <w:r w:rsidRPr="005F0E25">
        <w:rPr>
          <w:color w:val="131314"/>
          <w:sz w:val="20"/>
          <w:szCs w:val="20"/>
        </w:rPr>
        <w:t>The study synthesized data from two distinct prospective birth cohorts:</w:t>
      </w:r>
    </w:p>
    <w:p w14:paraId="3C7F505F" w14:textId="77777777" w:rsidR="005F0E25" w:rsidRPr="005F0E25" w:rsidRDefault="005F0E25" w:rsidP="005F0E25">
      <w:pPr>
        <w:numPr>
          <w:ilvl w:val="0"/>
          <w:numId w:val="65"/>
        </w:numPr>
        <w:jc w:val="both"/>
        <w:rPr>
          <w:color w:val="131314"/>
          <w:sz w:val="20"/>
          <w:szCs w:val="20"/>
        </w:rPr>
      </w:pPr>
      <w:r w:rsidRPr="005F0E25">
        <w:rPr>
          <w:b/>
          <w:bCs/>
          <w:color w:val="131314"/>
          <w:sz w:val="20"/>
          <w:szCs w:val="20"/>
        </w:rPr>
        <w:t>VIGR Cohort (2004–2015):</w:t>
      </w:r>
      <w:r w:rsidRPr="005F0E25">
        <w:rPr>
          <w:color w:val="131314"/>
          <w:sz w:val="20"/>
          <w:szCs w:val="20"/>
        </w:rPr>
        <w:t> 42 participants (21 cases, 21 controls) aged 1–13 years.</w:t>
      </w:r>
    </w:p>
    <w:p w14:paraId="7B3B22E7" w14:textId="77777777" w:rsidR="005F0E25" w:rsidRPr="005F0E25" w:rsidRDefault="005F0E25" w:rsidP="005F0E25">
      <w:pPr>
        <w:numPr>
          <w:ilvl w:val="0"/>
          <w:numId w:val="65"/>
        </w:numPr>
        <w:jc w:val="both"/>
        <w:rPr>
          <w:color w:val="131314"/>
          <w:sz w:val="20"/>
          <w:szCs w:val="20"/>
        </w:rPr>
      </w:pPr>
      <w:r w:rsidRPr="005F0E25">
        <w:rPr>
          <w:b/>
          <w:bCs/>
          <w:color w:val="131314"/>
          <w:sz w:val="20"/>
          <w:szCs w:val="20"/>
        </w:rPr>
        <w:t>ENDIA Cohort (2013–2019):</w:t>
      </w:r>
      <w:r w:rsidRPr="005F0E25">
        <w:rPr>
          <w:color w:val="131314"/>
          <w:sz w:val="20"/>
          <w:szCs w:val="20"/>
        </w:rPr>
        <w:t> 145 samples (45 cases, 100 controls) aged 3 months to 5 years.</w:t>
      </w:r>
    </w:p>
    <w:p w14:paraId="26B6E251" w14:textId="77777777" w:rsidR="005F0E25" w:rsidRPr="005F0E25" w:rsidRDefault="005F0E25" w:rsidP="005F0E25">
      <w:pPr>
        <w:jc w:val="both"/>
        <w:rPr>
          <w:b/>
          <w:bCs/>
          <w:color w:val="131314"/>
          <w:sz w:val="20"/>
          <w:szCs w:val="20"/>
        </w:rPr>
      </w:pPr>
      <w:r w:rsidRPr="005F0E25">
        <w:rPr>
          <w:b/>
          <w:bCs/>
          <w:color w:val="131314"/>
          <w:sz w:val="20"/>
          <w:szCs w:val="20"/>
        </w:rPr>
        <w:t>Analytical Techniques</w:t>
      </w:r>
    </w:p>
    <w:p w14:paraId="51151491" w14:textId="77777777" w:rsidR="005F0E25" w:rsidRPr="005F0E25" w:rsidRDefault="005F0E25" w:rsidP="005F0E25">
      <w:pPr>
        <w:numPr>
          <w:ilvl w:val="0"/>
          <w:numId w:val="66"/>
        </w:numPr>
        <w:jc w:val="both"/>
        <w:rPr>
          <w:color w:val="131314"/>
          <w:sz w:val="20"/>
          <w:szCs w:val="20"/>
        </w:rPr>
      </w:pPr>
      <w:r w:rsidRPr="005F0E25">
        <w:rPr>
          <w:b/>
          <w:bCs/>
          <w:color w:val="131314"/>
          <w:sz w:val="20"/>
          <w:szCs w:val="20"/>
        </w:rPr>
        <w:t>VirScan:</w:t>
      </w:r>
      <w:r w:rsidRPr="005F0E25">
        <w:rPr>
          <w:color w:val="131314"/>
          <w:sz w:val="20"/>
          <w:szCs w:val="20"/>
        </w:rPr>
        <w:t> A virome-wide serological profiling tool using a bacteriophage display library representing the full human virome (over 100,000 unique templates).</w:t>
      </w:r>
    </w:p>
    <w:p w14:paraId="30C2E208" w14:textId="77777777" w:rsidR="005F0E25" w:rsidRPr="005F0E25" w:rsidRDefault="005F0E25" w:rsidP="005F0E25">
      <w:pPr>
        <w:numPr>
          <w:ilvl w:val="0"/>
          <w:numId w:val="66"/>
        </w:numPr>
        <w:jc w:val="both"/>
        <w:rPr>
          <w:color w:val="131314"/>
          <w:sz w:val="20"/>
          <w:szCs w:val="20"/>
        </w:rPr>
      </w:pPr>
      <w:r w:rsidRPr="005F0E25">
        <w:rPr>
          <w:b/>
          <w:bCs/>
          <w:color w:val="131314"/>
          <w:sz w:val="20"/>
          <w:szCs w:val="20"/>
        </w:rPr>
        <w:t>AVARDA:</w:t>
      </w:r>
      <w:r w:rsidRPr="005F0E25">
        <w:rPr>
          <w:color w:val="131314"/>
          <w:sz w:val="20"/>
          <w:szCs w:val="20"/>
        </w:rPr>
        <w:t> An algorithm used to re-estimate viral presence by deconvoluting cross-reactive peptide sequences across similar viral species.</w:t>
      </w:r>
    </w:p>
    <w:p w14:paraId="3F662133" w14:textId="77777777" w:rsidR="005F0E25" w:rsidRPr="005F0E25" w:rsidRDefault="005F0E25" w:rsidP="005F0E25">
      <w:pPr>
        <w:numPr>
          <w:ilvl w:val="0"/>
          <w:numId w:val="66"/>
        </w:numPr>
        <w:jc w:val="both"/>
        <w:rPr>
          <w:color w:val="131314"/>
          <w:sz w:val="20"/>
          <w:szCs w:val="20"/>
        </w:rPr>
      </w:pPr>
      <w:r w:rsidRPr="005F0E25">
        <w:rPr>
          <w:b/>
          <w:bCs/>
          <w:color w:val="131314"/>
          <w:sz w:val="20"/>
          <w:szCs w:val="20"/>
        </w:rPr>
        <w:t>Antigen Mapping:</w:t>
      </w:r>
      <w:r w:rsidRPr="005F0E25">
        <w:rPr>
          <w:color w:val="131314"/>
          <w:sz w:val="20"/>
          <w:szCs w:val="20"/>
        </w:rPr>
        <w:t> Detected antibody reactivity was mapped to the genome polyprotein of Coxsackievirus B1 (CVB1) to identify specific immunogenic regions.</w:t>
      </w:r>
    </w:p>
    <w:p w14:paraId="4ACA5FEE" w14:textId="77777777" w:rsidR="005F0E25" w:rsidRPr="005F0E25" w:rsidRDefault="005F0E25" w:rsidP="005F0E25">
      <w:pPr>
        <w:jc w:val="both"/>
        <w:rPr>
          <w:b/>
          <w:bCs/>
          <w:color w:val="131314"/>
          <w:sz w:val="20"/>
          <w:szCs w:val="20"/>
        </w:rPr>
      </w:pPr>
      <w:r w:rsidRPr="005F0E25">
        <w:rPr>
          <w:b/>
          <w:bCs/>
          <w:color w:val="131314"/>
          <w:sz w:val="20"/>
          <w:szCs w:val="20"/>
        </w:rPr>
        <w:t>Key Findings and Statistical Analysis</w:t>
      </w:r>
    </w:p>
    <w:p w14:paraId="50CF0653" w14:textId="77777777" w:rsidR="005F0E25" w:rsidRPr="005F0E25" w:rsidRDefault="005F0E25" w:rsidP="005F0E25">
      <w:pPr>
        <w:jc w:val="both"/>
        <w:rPr>
          <w:b/>
          <w:bCs/>
          <w:color w:val="131314"/>
          <w:sz w:val="20"/>
          <w:szCs w:val="20"/>
        </w:rPr>
      </w:pPr>
      <w:r w:rsidRPr="005F0E25">
        <w:rPr>
          <w:b/>
          <w:bCs/>
          <w:color w:val="131314"/>
          <w:sz w:val="20"/>
          <w:szCs w:val="20"/>
        </w:rPr>
        <w:t>General Enterovirus Antibody Response</w:t>
      </w:r>
    </w:p>
    <w:p w14:paraId="31328854" w14:textId="77777777" w:rsidR="005F0E25" w:rsidRPr="005F0E25" w:rsidRDefault="005F0E25" w:rsidP="005F0E25">
      <w:pPr>
        <w:jc w:val="both"/>
        <w:rPr>
          <w:color w:val="131314"/>
          <w:sz w:val="20"/>
          <w:szCs w:val="20"/>
        </w:rPr>
      </w:pPr>
      <w:r w:rsidRPr="005F0E25">
        <w:rPr>
          <w:color w:val="131314"/>
          <w:sz w:val="20"/>
          <w:szCs w:val="20"/>
        </w:rPr>
        <w:lastRenderedPageBreak/>
        <w:t>While the </w:t>
      </w:r>
      <w:r w:rsidRPr="005F0E25">
        <w:rPr>
          <w:i/>
          <w:iCs/>
          <w:color w:val="131314"/>
          <w:sz w:val="20"/>
          <w:szCs w:val="20"/>
        </w:rPr>
        <w:t>Enterovirus</w:t>
      </w:r>
      <w:r w:rsidRPr="005F0E25">
        <w:rPr>
          <w:color w:val="131314"/>
          <w:sz w:val="20"/>
          <w:szCs w:val="20"/>
        </w:rPr>
        <w:t> genus elicited the greatest antibody response at the time of IA onset (present in 58% of VIGR and 56% of ENDIA samples), total EV-specific antibody levels were not statistically significant predictors of IA risk.</w:t>
      </w:r>
    </w:p>
    <w:p w14:paraId="7AA4C0C0" w14:textId="77777777" w:rsidR="005F0E25" w:rsidRPr="005F0E25" w:rsidRDefault="005F0E25" w:rsidP="005F0E25">
      <w:pPr>
        <w:numPr>
          <w:ilvl w:val="0"/>
          <w:numId w:val="67"/>
        </w:numPr>
        <w:jc w:val="both"/>
        <w:rPr>
          <w:color w:val="131314"/>
          <w:sz w:val="20"/>
          <w:szCs w:val="20"/>
        </w:rPr>
      </w:pPr>
      <w:r w:rsidRPr="005F0E25">
        <w:rPr>
          <w:b/>
          <w:bCs/>
          <w:color w:val="131314"/>
          <w:sz w:val="20"/>
          <w:szCs w:val="20"/>
        </w:rPr>
        <w:t>ENDIA:</w:t>
      </w:r>
      <w:r w:rsidRPr="005F0E25">
        <w:rPr>
          <w:color w:val="131314"/>
          <w:sz w:val="20"/>
          <w:szCs w:val="20"/>
        </w:rPr>
        <w:t> Risk Ratio (RR) 1.12; 95% CI 0.95, 1.34; P = 0.18.</w:t>
      </w:r>
    </w:p>
    <w:p w14:paraId="1D837578" w14:textId="77777777" w:rsidR="005F0E25" w:rsidRPr="005F0E25" w:rsidRDefault="005F0E25" w:rsidP="005F0E25">
      <w:pPr>
        <w:numPr>
          <w:ilvl w:val="0"/>
          <w:numId w:val="67"/>
        </w:numPr>
        <w:jc w:val="both"/>
        <w:rPr>
          <w:color w:val="131314"/>
          <w:sz w:val="20"/>
          <w:szCs w:val="20"/>
        </w:rPr>
      </w:pPr>
      <w:r w:rsidRPr="005F0E25">
        <w:rPr>
          <w:b/>
          <w:bCs/>
          <w:color w:val="131314"/>
          <w:sz w:val="20"/>
          <w:szCs w:val="20"/>
        </w:rPr>
        <w:t>VIGR:</w:t>
      </w:r>
      <w:r w:rsidRPr="005F0E25">
        <w:rPr>
          <w:color w:val="131314"/>
          <w:sz w:val="20"/>
          <w:szCs w:val="20"/>
        </w:rPr>
        <w:t> RR 1.23; 95% CI 0.25, 5.97; P = 0.8.</w:t>
      </w:r>
    </w:p>
    <w:p w14:paraId="573E4FD7" w14:textId="77777777" w:rsidR="005F0E25" w:rsidRPr="005F0E25" w:rsidRDefault="005F0E25" w:rsidP="005F0E25">
      <w:pPr>
        <w:jc w:val="both"/>
        <w:rPr>
          <w:b/>
          <w:bCs/>
          <w:color w:val="131314"/>
          <w:sz w:val="20"/>
          <w:szCs w:val="20"/>
        </w:rPr>
      </w:pPr>
      <w:r w:rsidRPr="005F0E25">
        <w:rPr>
          <w:b/>
          <w:bCs/>
          <w:color w:val="131314"/>
          <w:sz w:val="20"/>
          <w:szCs w:val="20"/>
        </w:rPr>
        <w:t>Identification of the 3D Hotspot (PSVF Motif)</w:t>
      </w:r>
    </w:p>
    <w:p w14:paraId="0C89BD61" w14:textId="77777777" w:rsidR="005F0E25" w:rsidRPr="005F0E25" w:rsidRDefault="005F0E25" w:rsidP="005F0E25">
      <w:pPr>
        <w:jc w:val="both"/>
        <w:rPr>
          <w:color w:val="131314"/>
          <w:sz w:val="20"/>
          <w:szCs w:val="20"/>
        </w:rPr>
      </w:pPr>
      <w:r w:rsidRPr="005F0E25">
        <w:rPr>
          <w:color w:val="131314"/>
          <w:sz w:val="20"/>
          <w:szCs w:val="20"/>
        </w:rPr>
        <w:t>The study identified a consistent enrichment of antibodies targeting the </w:t>
      </w:r>
      <w:r w:rsidRPr="005F0E25">
        <w:rPr>
          <w:b/>
          <w:bCs/>
          <w:color w:val="131314"/>
          <w:sz w:val="20"/>
          <w:szCs w:val="20"/>
        </w:rPr>
        <w:t>PSVF motif</w:t>
      </w:r>
      <w:r w:rsidRPr="005F0E25">
        <w:rPr>
          <w:color w:val="131314"/>
          <w:sz w:val="20"/>
          <w:szCs w:val="20"/>
        </w:rPr>
        <w:t> (IxTPxKTKLxPSVFxxVFPGx) located in the 3D RNA-dependent RNA polymerase (RdRp) region.</w:t>
      </w:r>
    </w:p>
    <w:p w14:paraId="1B32F6A6" w14:textId="77777777" w:rsidR="005F0E25" w:rsidRPr="005F0E25" w:rsidRDefault="005F0E25" w:rsidP="005F0E25">
      <w:pPr>
        <w:numPr>
          <w:ilvl w:val="0"/>
          <w:numId w:val="68"/>
        </w:numPr>
        <w:jc w:val="both"/>
        <w:rPr>
          <w:color w:val="131314"/>
          <w:sz w:val="20"/>
          <w:szCs w:val="20"/>
        </w:rPr>
      </w:pPr>
      <w:r w:rsidRPr="005F0E25">
        <w:rPr>
          <w:color w:val="131314"/>
          <w:sz w:val="20"/>
          <w:szCs w:val="20"/>
        </w:rPr>
        <w:t>This region is highly conserved across various EV species, including Coxsackieviruses and Rhinoviruses.</w:t>
      </w:r>
    </w:p>
    <w:p w14:paraId="0D2D11EE" w14:textId="77777777" w:rsidR="005F0E25" w:rsidRPr="005F0E25" w:rsidRDefault="005F0E25" w:rsidP="005F0E25">
      <w:pPr>
        <w:numPr>
          <w:ilvl w:val="0"/>
          <w:numId w:val="68"/>
        </w:numPr>
        <w:jc w:val="both"/>
        <w:rPr>
          <w:color w:val="131314"/>
          <w:sz w:val="20"/>
          <w:szCs w:val="20"/>
        </w:rPr>
      </w:pPr>
      <w:r w:rsidRPr="005F0E25">
        <w:rPr>
          <w:color w:val="131314"/>
          <w:sz w:val="20"/>
          <w:szCs w:val="20"/>
        </w:rPr>
        <w:t>The enrichment was observed in both cohorts and both sexes.</w:t>
      </w:r>
    </w:p>
    <w:p w14:paraId="15157FDA" w14:textId="77777777" w:rsidR="005F0E25" w:rsidRPr="005F0E25" w:rsidRDefault="005F0E25" w:rsidP="005F0E25">
      <w:pPr>
        <w:numPr>
          <w:ilvl w:val="0"/>
          <w:numId w:val="68"/>
        </w:numPr>
        <w:jc w:val="both"/>
        <w:rPr>
          <w:color w:val="131314"/>
          <w:sz w:val="20"/>
          <w:szCs w:val="20"/>
        </w:rPr>
      </w:pPr>
      <w:r w:rsidRPr="005F0E25">
        <w:rPr>
          <w:b/>
          <w:bCs/>
          <w:color w:val="131314"/>
          <w:sz w:val="20"/>
          <w:szCs w:val="20"/>
        </w:rPr>
        <w:t>Statistical Note:</w:t>
      </w:r>
      <w:r w:rsidRPr="005F0E25">
        <w:rPr>
          <w:color w:val="131314"/>
          <w:sz w:val="20"/>
          <w:szCs w:val="20"/>
        </w:rPr>
        <w:t> In the ENDIA cohort, this enrichment reached borderline significance (RR 5.75; 95% CI 0.94, 35.16; P = 0.058).</w:t>
      </w:r>
    </w:p>
    <w:p w14:paraId="74D67DFF" w14:textId="77777777" w:rsidR="005F0E25" w:rsidRPr="005F0E25" w:rsidRDefault="005F0E25" w:rsidP="005F0E25">
      <w:pPr>
        <w:jc w:val="both"/>
        <w:rPr>
          <w:b/>
          <w:bCs/>
          <w:color w:val="131314"/>
          <w:sz w:val="20"/>
          <w:szCs w:val="20"/>
        </w:rPr>
      </w:pPr>
      <w:r w:rsidRPr="005F0E25">
        <w:rPr>
          <w:b/>
          <w:bCs/>
          <w:color w:val="131314"/>
          <w:sz w:val="20"/>
          <w:szCs w:val="20"/>
        </w:rPr>
        <w:t>Sex-Specific VP1 Response (PAL Motif)</w:t>
      </w:r>
    </w:p>
    <w:p w14:paraId="63AC9B7E" w14:textId="77777777" w:rsidR="005F0E25" w:rsidRPr="005F0E25" w:rsidRDefault="005F0E25" w:rsidP="005F0E25">
      <w:pPr>
        <w:jc w:val="both"/>
        <w:rPr>
          <w:color w:val="131314"/>
          <w:sz w:val="20"/>
          <w:szCs w:val="20"/>
        </w:rPr>
      </w:pPr>
      <w:r w:rsidRPr="005F0E25">
        <w:rPr>
          <w:color w:val="131314"/>
          <w:sz w:val="20"/>
          <w:szCs w:val="20"/>
        </w:rPr>
        <w:t>A major discovery was the sex-stratified difference in antibody response to the </w:t>
      </w:r>
      <w:r w:rsidRPr="005F0E25">
        <w:rPr>
          <w:b/>
          <w:bCs/>
          <w:color w:val="131314"/>
          <w:sz w:val="20"/>
          <w:szCs w:val="20"/>
        </w:rPr>
        <w:t>PAL motif</w:t>
      </w:r>
      <w:r w:rsidRPr="005F0E25">
        <w:rPr>
          <w:color w:val="131314"/>
          <w:sz w:val="20"/>
          <w:szCs w:val="20"/>
        </w:rPr>
        <w:t> (PALxAxETGxT) within the VP1 capsid protein.</w:t>
      </w:r>
    </w:p>
    <w:p w14:paraId="6FD6145A" w14:textId="77777777" w:rsidR="005F0E25" w:rsidRPr="005F0E25" w:rsidRDefault="005F0E25" w:rsidP="005F0E25">
      <w:pPr>
        <w:numPr>
          <w:ilvl w:val="0"/>
          <w:numId w:val="69"/>
        </w:numPr>
        <w:jc w:val="both"/>
        <w:rPr>
          <w:color w:val="131314"/>
          <w:sz w:val="20"/>
          <w:szCs w:val="20"/>
        </w:rPr>
      </w:pPr>
      <w:r w:rsidRPr="005F0E25">
        <w:rPr>
          <w:b/>
          <w:bCs/>
          <w:color w:val="131314"/>
          <w:sz w:val="20"/>
          <w:szCs w:val="20"/>
        </w:rPr>
        <w:t>Male Children:</w:t>
      </w:r>
      <w:r w:rsidRPr="005F0E25">
        <w:rPr>
          <w:color w:val="131314"/>
          <w:sz w:val="20"/>
          <w:szCs w:val="20"/>
        </w:rPr>
        <w:t> Exhibited significantly elevated antibody levels linked to IA onset in the ENDIA cohort (RR 1.24; 95% CI 1.02, 1.52; P = 0.03).</w:t>
      </w:r>
    </w:p>
    <w:p w14:paraId="02D7A9E6" w14:textId="77777777" w:rsidR="005F0E25" w:rsidRPr="005F0E25" w:rsidRDefault="005F0E25" w:rsidP="005F0E25">
      <w:pPr>
        <w:numPr>
          <w:ilvl w:val="0"/>
          <w:numId w:val="69"/>
        </w:numPr>
        <w:jc w:val="both"/>
        <w:rPr>
          <w:color w:val="131314"/>
          <w:sz w:val="20"/>
          <w:szCs w:val="20"/>
        </w:rPr>
      </w:pPr>
      <w:r w:rsidRPr="005F0E25">
        <w:rPr>
          <w:b/>
          <w:bCs/>
          <w:color w:val="131314"/>
          <w:sz w:val="20"/>
          <w:szCs w:val="20"/>
        </w:rPr>
        <w:t>Female Children:</w:t>
      </w:r>
      <w:r w:rsidRPr="005F0E25">
        <w:rPr>
          <w:color w:val="131314"/>
          <w:sz w:val="20"/>
          <w:szCs w:val="20"/>
        </w:rPr>
        <w:t> Showed no significant enrichment in this region (RR 0.99; 95% CI 0.84, 1.18; P = 0.99).</w:t>
      </w:r>
    </w:p>
    <w:tbl>
      <w:tblPr>
        <w:tblW w:w="937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5"/>
        <w:gridCol w:w="1085"/>
        <w:gridCol w:w="908"/>
        <w:gridCol w:w="5040"/>
      </w:tblGrid>
      <w:tr w:rsidR="005F0E25" w:rsidRPr="005F0E25" w14:paraId="5EE53217" w14:textId="77777777" w:rsidTr="005F0E25">
        <w:tc>
          <w:tcPr>
            <w:tcW w:w="0" w:type="auto"/>
            <w:tcBorders>
              <w:top w:val="outset" w:sz="6" w:space="0" w:color="auto"/>
              <w:left w:val="outset" w:sz="6" w:space="0" w:color="auto"/>
              <w:bottom w:val="outset" w:sz="6" w:space="0" w:color="auto"/>
              <w:right w:val="outset" w:sz="6" w:space="0" w:color="auto"/>
            </w:tcBorders>
            <w:vAlign w:val="center"/>
            <w:hideMark/>
          </w:tcPr>
          <w:p w14:paraId="269D90EE" w14:textId="77777777" w:rsidR="005F0E25" w:rsidRPr="005F0E25" w:rsidRDefault="005F0E25" w:rsidP="005F0E25">
            <w:pPr>
              <w:rPr>
                <w:color w:val="131314"/>
                <w:sz w:val="20"/>
                <w:szCs w:val="20"/>
              </w:rPr>
            </w:pPr>
            <w:r w:rsidRPr="005F0E25">
              <w:rPr>
                <w:color w:val="131314"/>
                <w:sz w:val="20"/>
                <w:szCs w:val="20"/>
              </w:rPr>
              <w:t>Cohort/Group</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DD308" w14:textId="77777777" w:rsidR="005F0E25" w:rsidRPr="005F0E25" w:rsidRDefault="005F0E25" w:rsidP="005F0E25">
            <w:pPr>
              <w:rPr>
                <w:color w:val="131314"/>
                <w:sz w:val="20"/>
                <w:szCs w:val="20"/>
              </w:rPr>
            </w:pPr>
            <w:r w:rsidRPr="005F0E25">
              <w:rPr>
                <w:color w:val="131314"/>
                <w:sz w:val="20"/>
                <w:szCs w:val="20"/>
              </w:rPr>
              <w:t>Region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598D9" w14:textId="77777777" w:rsidR="005F0E25" w:rsidRPr="005F0E25" w:rsidRDefault="005F0E25" w:rsidP="005F0E25">
            <w:pPr>
              <w:rPr>
                <w:color w:val="131314"/>
                <w:sz w:val="20"/>
                <w:szCs w:val="20"/>
              </w:rPr>
            </w:pPr>
            <w:r w:rsidRPr="005F0E25">
              <w:rPr>
                <w:color w:val="131314"/>
                <w:sz w:val="20"/>
                <w:szCs w:val="20"/>
              </w:rPr>
              <w:t>Motif</w:t>
            </w:r>
          </w:p>
        </w:tc>
        <w:tc>
          <w:tcPr>
            <w:tcW w:w="5040" w:type="dxa"/>
            <w:tcBorders>
              <w:top w:val="outset" w:sz="6" w:space="0" w:color="auto"/>
              <w:left w:val="outset" w:sz="6" w:space="0" w:color="auto"/>
              <w:bottom w:val="outset" w:sz="6" w:space="0" w:color="auto"/>
              <w:right w:val="outset" w:sz="6" w:space="0" w:color="auto"/>
            </w:tcBorders>
            <w:vAlign w:val="center"/>
            <w:hideMark/>
          </w:tcPr>
          <w:p w14:paraId="7165867C" w14:textId="77777777" w:rsidR="005F0E25" w:rsidRPr="005F0E25" w:rsidRDefault="005F0E25" w:rsidP="005F0E25">
            <w:pPr>
              <w:rPr>
                <w:color w:val="131314"/>
                <w:sz w:val="20"/>
                <w:szCs w:val="20"/>
              </w:rPr>
            </w:pPr>
            <w:r w:rsidRPr="005F0E25">
              <w:rPr>
                <w:color w:val="131314"/>
                <w:sz w:val="20"/>
                <w:szCs w:val="20"/>
              </w:rPr>
              <w:t>Key Statistical Finding</w:t>
            </w:r>
          </w:p>
        </w:tc>
      </w:tr>
      <w:tr w:rsidR="005F0E25" w:rsidRPr="005F0E25" w14:paraId="47045DAE" w14:textId="77777777" w:rsidTr="005F0E25">
        <w:tc>
          <w:tcPr>
            <w:tcW w:w="0" w:type="auto"/>
            <w:tcBorders>
              <w:top w:val="outset" w:sz="6" w:space="0" w:color="auto"/>
              <w:left w:val="outset" w:sz="6" w:space="0" w:color="auto"/>
              <w:bottom w:val="outset" w:sz="6" w:space="0" w:color="auto"/>
              <w:right w:val="outset" w:sz="6" w:space="0" w:color="auto"/>
            </w:tcBorders>
            <w:vAlign w:val="center"/>
            <w:hideMark/>
          </w:tcPr>
          <w:p w14:paraId="19BF7D8A" w14:textId="77777777" w:rsidR="005F0E25" w:rsidRPr="005F0E25" w:rsidRDefault="005F0E25" w:rsidP="005F0E25">
            <w:pPr>
              <w:rPr>
                <w:color w:val="131314"/>
                <w:sz w:val="20"/>
                <w:szCs w:val="20"/>
              </w:rPr>
            </w:pPr>
            <w:r w:rsidRPr="005F0E25">
              <w:rPr>
                <w:b/>
                <w:bCs/>
                <w:color w:val="131314"/>
                <w:sz w:val="20"/>
                <w:szCs w:val="20"/>
              </w:rPr>
              <w:t>ENDIA (Male)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FE129" w14:textId="77777777" w:rsidR="005F0E25" w:rsidRPr="005F0E25" w:rsidRDefault="005F0E25" w:rsidP="005F0E25">
            <w:pPr>
              <w:rPr>
                <w:color w:val="131314"/>
                <w:sz w:val="20"/>
                <w:szCs w:val="20"/>
              </w:rPr>
            </w:pPr>
            <w:r w:rsidRPr="005F0E25">
              <w:rPr>
                <w:color w:val="131314"/>
                <w:sz w:val="20"/>
                <w:szCs w:val="20"/>
              </w:rPr>
              <w:t>VP1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DCD6B" w14:textId="77777777" w:rsidR="005F0E25" w:rsidRPr="005F0E25" w:rsidRDefault="005F0E25" w:rsidP="005F0E25">
            <w:pPr>
              <w:rPr>
                <w:color w:val="131314"/>
                <w:sz w:val="20"/>
                <w:szCs w:val="20"/>
              </w:rPr>
            </w:pPr>
            <w:r w:rsidRPr="005F0E25">
              <w:rPr>
                <w:color w:val="131314"/>
                <w:sz w:val="20"/>
                <w:szCs w:val="20"/>
              </w:rPr>
              <w:t>PAL</w:t>
            </w:r>
          </w:p>
        </w:tc>
        <w:tc>
          <w:tcPr>
            <w:tcW w:w="5040" w:type="dxa"/>
            <w:tcBorders>
              <w:top w:val="outset" w:sz="6" w:space="0" w:color="auto"/>
              <w:left w:val="outset" w:sz="6" w:space="0" w:color="auto"/>
              <w:bottom w:val="outset" w:sz="6" w:space="0" w:color="auto"/>
              <w:right w:val="outset" w:sz="6" w:space="0" w:color="auto"/>
            </w:tcBorders>
            <w:vAlign w:val="center"/>
            <w:hideMark/>
          </w:tcPr>
          <w:p w14:paraId="71AE4E72" w14:textId="77777777" w:rsidR="005F0E25" w:rsidRPr="005F0E25" w:rsidRDefault="005F0E25" w:rsidP="005F0E25">
            <w:pPr>
              <w:rPr>
                <w:color w:val="131314"/>
                <w:sz w:val="20"/>
                <w:szCs w:val="20"/>
              </w:rPr>
            </w:pPr>
            <w:r w:rsidRPr="005F0E25">
              <w:rPr>
                <w:color w:val="131314"/>
                <w:sz w:val="20"/>
                <w:szCs w:val="20"/>
              </w:rPr>
              <w:t>Significant enrichment (P = 0.03)</w:t>
            </w:r>
          </w:p>
        </w:tc>
      </w:tr>
      <w:tr w:rsidR="005F0E25" w:rsidRPr="005F0E25" w14:paraId="0B33D90D" w14:textId="77777777" w:rsidTr="005F0E25">
        <w:tc>
          <w:tcPr>
            <w:tcW w:w="0" w:type="auto"/>
            <w:tcBorders>
              <w:top w:val="outset" w:sz="6" w:space="0" w:color="auto"/>
              <w:left w:val="outset" w:sz="6" w:space="0" w:color="auto"/>
              <w:bottom w:val="outset" w:sz="6" w:space="0" w:color="auto"/>
              <w:right w:val="outset" w:sz="6" w:space="0" w:color="auto"/>
            </w:tcBorders>
            <w:vAlign w:val="center"/>
            <w:hideMark/>
          </w:tcPr>
          <w:p w14:paraId="0D8AB634" w14:textId="77777777" w:rsidR="005F0E25" w:rsidRPr="005F0E25" w:rsidRDefault="005F0E25" w:rsidP="005F0E25">
            <w:pPr>
              <w:rPr>
                <w:color w:val="131314"/>
                <w:sz w:val="20"/>
                <w:szCs w:val="20"/>
              </w:rPr>
            </w:pPr>
            <w:r w:rsidRPr="005F0E25">
              <w:rPr>
                <w:b/>
                <w:bCs/>
                <w:color w:val="131314"/>
                <w:sz w:val="20"/>
                <w:szCs w:val="20"/>
              </w:rPr>
              <w:t>ENDIA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CA223" w14:textId="77777777" w:rsidR="005F0E25" w:rsidRPr="005F0E25" w:rsidRDefault="005F0E25" w:rsidP="005F0E25">
            <w:pPr>
              <w:rPr>
                <w:color w:val="131314"/>
                <w:sz w:val="20"/>
                <w:szCs w:val="20"/>
              </w:rPr>
            </w:pPr>
            <w:r w:rsidRPr="005F0E25">
              <w:rPr>
                <w:color w:val="131314"/>
                <w:sz w:val="20"/>
                <w:szCs w:val="20"/>
              </w:rPr>
              <w:t>3D</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4E9DD" w14:textId="77777777" w:rsidR="005F0E25" w:rsidRPr="005F0E25" w:rsidRDefault="005F0E25" w:rsidP="005F0E25">
            <w:pPr>
              <w:rPr>
                <w:color w:val="131314"/>
                <w:sz w:val="20"/>
                <w:szCs w:val="20"/>
              </w:rPr>
            </w:pPr>
            <w:r w:rsidRPr="005F0E25">
              <w:rPr>
                <w:color w:val="131314"/>
                <w:sz w:val="20"/>
                <w:szCs w:val="20"/>
              </w:rPr>
              <w:t>PSVF</w:t>
            </w:r>
          </w:p>
        </w:tc>
        <w:tc>
          <w:tcPr>
            <w:tcW w:w="5040" w:type="dxa"/>
            <w:tcBorders>
              <w:top w:val="outset" w:sz="6" w:space="0" w:color="auto"/>
              <w:left w:val="outset" w:sz="6" w:space="0" w:color="auto"/>
              <w:bottom w:val="outset" w:sz="6" w:space="0" w:color="auto"/>
              <w:right w:val="outset" w:sz="6" w:space="0" w:color="auto"/>
            </w:tcBorders>
            <w:vAlign w:val="center"/>
            <w:hideMark/>
          </w:tcPr>
          <w:p w14:paraId="276C9243" w14:textId="77777777" w:rsidR="005F0E25" w:rsidRPr="005F0E25" w:rsidRDefault="005F0E25" w:rsidP="005F0E25">
            <w:pPr>
              <w:rPr>
                <w:color w:val="131314"/>
                <w:sz w:val="20"/>
                <w:szCs w:val="20"/>
              </w:rPr>
            </w:pPr>
            <w:r w:rsidRPr="005F0E25">
              <w:rPr>
                <w:color w:val="131314"/>
                <w:sz w:val="20"/>
                <w:szCs w:val="20"/>
              </w:rPr>
              <w:t>Borderline significant (P = 0.058)</w:t>
            </w:r>
          </w:p>
        </w:tc>
      </w:tr>
      <w:tr w:rsidR="005F0E25" w:rsidRPr="005F0E25" w14:paraId="2FF78A0D" w14:textId="77777777" w:rsidTr="005F0E25">
        <w:tc>
          <w:tcPr>
            <w:tcW w:w="0" w:type="auto"/>
            <w:tcBorders>
              <w:top w:val="outset" w:sz="6" w:space="0" w:color="auto"/>
              <w:left w:val="outset" w:sz="6" w:space="0" w:color="auto"/>
              <w:bottom w:val="outset" w:sz="6" w:space="0" w:color="auto"/>
              <w:right w:val="outset" w:sz="6" w:space="0" w:color="auto"/>
            </w:tcBorders>
            <w:vAlign w:val="center"/>
            <w:hideMark/>
          </w:tcPr>
          <w:p w14:paraId="5F1A90DA" w14:textId="77777777" w:rsidR="005F0E25" w:rsidRPr="005F0E25" w:rsidRDefault="005F0E25" w:rsidP="005F0E25">
            <w:pPr>
              <w:rPr>
                <w:color w:val="131314"/>
                <w:sz w:val="20"/>
                <w:szCs w:val="20"/>
              </w:rPr>
            </w:pPr>
            <w:r w:rsidRPr="005F0E25">
              <w:rPr>
                <w:b/>
                <w:bCs/>
                <w:color w:val="131314"/>
                <w:sz w:val="20"/>
                <w:szCs w:val="20"/>
              </w:rPr>
              <w:t>VIGR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3DFD4" w14:textId="77777777" w:rsidR="005F0E25" w:rsidRPr="005F0E25" w:rsidRDefault="005F0E25" w:rsidP="005F0E25">
            <w:pPr>
              <w:rPr>
                <w:color w:val="131314"/>
                <w:sz w:val="20"/>
                <w:szCs w:val="20"/>
              </w:rPr>
            </w:pPr>
            <w:r w:rsidRPr="005F0E25">
              <w:rPr>
                <w:color w:val="131314"/>
                <w:sz w:val="20"/>
                <w:szCs w:val="20"/>
              </w:rPr>
              <w:t>3D</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E7951" w14:textId="77777777" w:rsidR="005F0E25" w:rsidRPr="005F0E25" w:rsidRDefault="005F0E25" w:rsidP="005F0E25">
            <w:pPr>
              <w:rPr>
                <w:color w:val="131314"/>
                <w:sz w:val="20"/>
                <w:szCs w:val="20"/>
              </w:rPr>
            </w:pPr>
            <w:r w:rsidRPr="005F0E25">
              <w:rPr>
                <w:color w:val="131314"/>
                <w:sz w:val="20"/>
                <w:szCs w:val="20"/>
              </w:rPr>
              <w:t>PSVF</w:t>
            </w:r>
          </w:p>
        </w:tc>
        <w:tc>
          <w:tcPr>
            <w:tcW w:w="5040" w:type="dxa"/>
            <w:tcBorders>
              <w:top w:val="outset" w:sz="6" w:space="0" w:color="auto"/>
              <w:left w:val="outset" w:sz="6" w:space="0" w:color="auto"/>
              <w:bottom w:val="outset" w:sz="6" w:space="0" w:color="auto"/>
              <w:right w:val="outset" w:sz="6" w:space="0" w:color="auto"/>
            </w:tcBorders>
            <w:vAlign w:val="center"/>
            <w:hideMark/>
          </w:tcPr>
          <w:p w14:paraId="0A210633" w14:textId="77777777" w:rsidR="005F0E25" w:rsidRPr="005F0E25" w:rsidRDefault="005F0E25" w:rsidP="005F0E25">
            <w:pPr>
              <w:rPr>
                <w:color w:val="131314"/>
                <w:sz w:val="20"/>
                <w:szCs w:val="20"/>
              </w:rPr>
            </w:pPr>
            <w:r w:rsidRPr="005F0E25">
              <w:rPr>
                <w:color w:val="131314"/>
                <w:sz w:val="20"/>
                <w:szCs w:val="20"/>
              </w:rPr>
              <w:t>Observed enrichment, but not significant (P = 0.69)</w:t>
            </w:r>
          </w:p>
        </w:tc>
      </w:tr>
    </w:tbl>
    <w:p w14:paraId="7FB4D6C0" w14:textId="77777777" w:rsidR="005F0E25" w:rsidRPr="005F0E25" w:rsidRDefault="005F0E25" w:rsidP="005F0E25">
      <w:pPr>
        <w:jc w:val="both"/>
        <w:rPr>
          <w:b/>
          <w:bCs/>
          <w:color w:val="131314"/>
          <w:sz w:val="20"/>
          <w:szCs w:val="20"/>
        </w:rPr>
      </w:pPr>
      <w:r w:rsidRPr="005F0E25">
        <w:rPr>
          <w:b/>
          <w:bCs/>
          <w:color w:val="131314"/>
          <w:sz w:val="20"/>
          <w:szCs w:val="20"/>
        </w:rPr>
        <w:t>Discussion and Clinical Implications</w:t>
      </w:r>
    </w:p>
    <w:p w14:paraId="579F8C91" w14:textId="77777777" w:rsidR="005F0E25" w:rsidRPr="005F0E25" w:rsidRDefault="005F0E25" w:rsidP="005F0E25">
      <w:pPr>
        <w:jc w:val="both"/>
        <w:rPr>
          <w:b/>
          <w:bCs/>
          <w:color w:val="131314"/>
          <w:sz w:val="20"/>
          <w:szCs w:val="20"/>
        </w:rPr>
      </w:pPr>
      <w:r w:rsidRPr="005F0E25">
        <w:rPr>
          <w:b/>
          <w:bCs/>
          <w:color w:val="131314"/>
          <w:sz w:val="20"/>
          <w:szCs w:val="20"/>
        </w:rPr>
        <w:t>The "Host Response" Paradigm</w:t>
      </w:r>
    </w:p>
    <w:p w14:paraId="1EE08A71" w14:textId="77777777" w:rsidR="005F0E25" w:rsidRPr="005F0E25" w:rsidRDefault="005F0E25" w:rsidP="005F0E25">
      <w:pPr>
        <w:jc w:val="both"/>
        <w:rPr>
          <w:color w:val="131314"/>
          <w:sz w:val="20"/>
          <w:szCs w:val="20"/>
        </w:rPr>
      </w:pPr>
      <w:r w:rsidRPr="005F0E25">
        <w:rPr>
          <w:color w:val="131314"/>
          <w:sz w:val="20"/>
          <w:szCs w:val="20"/>
        </w:rPr>
        <w:t>The findings suggest that the development of IA is driven by how a host's immune system responds to conserved viral sequences rather than which specific enterovirus serotype they encounter. This may explain why previous studies focusing on single serotypes yielded inconsistent results.</w:t>
      </w:r>
    </w:p>
    <w:p w14:paraId="272BDCE1" w14:textId="77777777" w:rsidR="005F0E25" w:rsidRPr="005F0E25" w:rsidRDefault="005F0E25" w:rsidP="005F0E25">
      <w:pPr>
        <w:jc w:val="both"/>
        <w:rPr>
          <w:b/>
          <w:bCs/>
          <w:color w:val="131314"/>
          <w:sz w:val="20"/>
          <w:szCs w:val="20"/>
        </w:rPr>
      </w:pPr>
      <w:r w:rsidRPr="005F0E25">
        <w:rPr>
          <w:b/>
          <w:bCs/>
          <w:color w:val="131314"/>
          <w:sz w:val="20"/>
          <w:szCs w:val="20"/>
        </w:rPr>
        <w:t>Vaccine-Induced vs. Natural Immunity</w:t>
      </w:r>
    </w:p>
    <w:p w14:paraId="58C576AF" w14:textId="77777777" w:rsidR="005F0E25" w:rsidRPr="005F0E25" w:rsidRDefault="005F0E25" w:rsidP="005F0E25">
      <w:pPr>
        <w:jc w:val="both"/>
        <w:rPr>
          <w:color w:val="131314"/>
          <w:sz w:val="20"/>
          <w:szCs w:val="20"/>
        </w:rPr>
      </w:pPr>
      <w:r w:rsidRPr="005F0E25">
        <w:rPr>
          <w:color w:val="131314"/>
          <w:sz w:val="20"/>
          <w:szCs w:val="20"/>
        </w:rPr>
        <w:t>Because the cohorts consisted of Australian children vaccinated against poliovirus (a member of the </w:t>
      </w:r>
      <w:r w:rsidRPr="005F0E25">
        <w:rPr>
          <w:i/>
          <w:iCs/>
          <w:color w:val="131314"/>
          <w:sz w:val="20"/>
          <w:szCs w:val="20"/>
        </w:rPr>
        <w:t>Enterovirus</w:t>
      </w:r>
      <w:r w:rsidRPr="005F0E25">
        <w:rPr>
          <w:color w:val="131314"/>
          <w:sz w:val="20"/>
          <w:szCs w:val="20"/>
        </w:rPr>
        <w:t> genus), the study considered the impact of the inactivated polio vaccine (IPV) and oral polio vaccine (OPV).</w:t>
      </w:r>
    </w:p>
    <w:p w14:paraId="2A66F456" w14:textId="77777777" w:rsidR="005F0E25" w:rsidRPr="005F0E25" w:rsidRDefault="005F0E25" w:rsidP="005F0E25">
      <w:pPr>
        <w:numPr>
          <w:ilvl w:val="0"/>
          <w:numId w:val="70"/>
        </w:numPr>
        <w:jc w:val="both"/>
        <w:rPr>
          <w:color w:val="131314"/>
          <w:sz w:val="20"/>
          <w:szCs w:val="20"/>
        </w:rPr>
      </w:pPr>
      <w:r w:rsidRPr="005F0E25">
        <w:rPr>
          <w:color w:val="131314"/>
          <w:sz w:val="20"/>
          <w:szCs w:val="20"/>
        </w:rPr>
        <w:t>Capsid proteins (VP1, VP2, VP3) are targeted by these vaccines.</w:t>
      </w:r>
    </w:p>
    <w:p w14:paraId="4AB85C23" w14:textId="77777777" w:rsidR="005F0E25" w:rsidRPr="005F0E25" w:rsidRDefault="005F0E25" w:rsidP="005F0E25">
      <w:pPr>
        <w:numPr>
          <w:ilvl w:val="0"/>
          <w:numId w:val="70"/>
        </w:numPr>
        <w:jc w:val="both"/>
        <w:rPr>
          <w:color w:val="131314"/>
          <w:sz w:val="20"/>
          <w:szCs w:val="20"/>
        </w:rPr>
      </w:pPr>
      <w:r w:rsidRPr="005F0E25">
        <w:rPr>
          <w:color w:val="131314"/>
          <w:sz w:val="20"/>
          <w:szCs w:val="20"/>
        </w:rPr>
        <w:t>The researchers conclude that while vaccine-induced antibodies may contribute to general VP1 reactivity, the response to the </w:t>
      </w:r>
      <w:r w:rsidRPr="005F0E25">
        <w:rPr>
          <w:b/>
          <w:bCs/>
          <w:color w:val="131314"/>
          <w:sz w:val="20"/>
          <w:szCs w:val="20"/>
        </w:rPr>
        <w:t>3D PSVF motif</w:t>
      </w:r>
      <w:r w:rsidRPr="005F0E25">
        <w:rPr>
          <w:color w:val="131314"/>
          <w:sz w:val="20"/>
          <w:szCs w:val="20"/>
        </w:rPr>
        <w:t> likely represents a "nonvaccine-induced natural development" of the immune response unique to those at risk of IA.</w:t>
      </w:r>
    </w:p>
    <w:p w14:paraId="1DB37CD7" w14:textId="77777777" w:rsidR="005F0E25" w:rsidRPr="005F0E25" w:rsidRDefault="005F0E25" w:rsidP="005F0E25">
      <w:pPr>
        <w:jc w:val="both"/>
        <w:rPr>
          <w:b/>
          <w:bCs/>
          <w:color w:val="131314"/>
          <w:sz w:val="20"/>
          <w:szCs w:val="20"/>
        </w:rPr>
      </w:pPr>
      <w:r w:rsidRPr="005F0E25">
        <w:rPr>
          <w:b/>
          <w:bCs/>
          <w:color w:val="131314"/>
          <w:sz w:val="20"/>
          <w:szCs w:val="20"/>
        </w:rPr>
        <w:t>Sex-Specific Antiviral Immunity</w:t>
      </w:r>
    </w:p>
    <w:p w14:paraId="09C8FA95" w14:textId="77777777" w:rsidR="005F0E25" w:rsidRPr="005F0E25" w:rsidRDefault="005F0E25" w:rsidP="005F0E25">
      <w:pPr>
        <w:jc w:val="both"/>
        <w:rPr>
          <w:color w:val="131314"/>
          <w:sz w:val="20"/>
          <w:szCs w:val="20"/>
        </w:rPr>
      </w:pPr>
      <w:r w:rsidRPr="005F0E25">
        <w:rPr>
          <w:color w:val="131314"/>
          <w:sz w:val="20"/>
          <w:szCs w:val="20"/>
        </w:rPr>
        <w:t>The elevated VP1 response in males, but not females, suggests that differential antiviral immunity may be a primary driver for early IA onset in male children, independent of HLA (human leukocyte antigen) genetic risk types. This aligns with previous observations that female individuals generally exhibit stronger immune responses but different patterns of autoimmune progression compared to males.</w:t>
      </w:r>
    </w:p>
    <w:p w14:paraId="7E41DBA0" w14:textId="77777777" w:rsidR="005F0E25" w:rsidRPr="005F0E25" w:rsidRDefault="005F0E25" w:rsidP="005F0E25">
      <w:pPr>
        <w:jc w:val="both"/>
        <w:rPr>
          <w:b/>
          <w:bCs/>
          <w:color w:val="131314"/>
          <w:sz w:val="20"/>
          <w:szCs w:val="20"/>
        </w:rPr>
      </w:pPr>
      <w:r w:rsidRPr="005F0E25">
        <w:rPr>
          <w:b/>
          <w:bCs/>
          <w:color w:val="131314"/>
          <w:sz w:val="20"/>
          <w:szCs w:val="20"/>
        </w:rPr>
        <w:t>Potential as a Biomarker</w:t>
      </w:r>
    </w:p>
    <w:p w14:paraId="3F937D7D" w14:textId="77777777" w:rsidR="005F0E25" w:rsidRPr="005F0E25" w:rsidRDefault="005F0E25" w:rsidP="005F0E25">
      <w:pPr>
        <w:jc w:val="both"/>
        <w:rPr>
          <w:color w:val="131314"/>
          <w:sz w:val="20"/>
          <w:szCs w:val="20"/>
        </w:rPr>
      </w:pPr>
      <w:r w:rsidRPr="005F0E25">
        <w:rPr>
          <w:color w:val="131314"/>
          <w:sz w:val="20"/>
          <w:szCs w:val="20"/>
        </w:rPr>
        <w:t>The PSVF motif in the 3D region is a strong candidate for a biomarker for IA onset. Because it is highly conserved, it could potentially identify high-risk host-virus interactions across a broad spectrum of enteroviral exposures.</w:t>
      </w:r>
    </w:p>
    <w:p w14:paraId="3747E8F9" w14:textId="77777777" w:rsidR="005F0E25" w:rsidRPr="005F0E25" w:rsidRDefault="005F0E25" w:rsidP="005F0E25">
      <w:pPr>
        <w:jc w:val="both"/>
        <w:rPr>
          <w:b/>
          <w:bCs/>
          <w:color w:val="131314"/>
          <w:sz w:val="20"/>
          <w:szCs w:val="20"/>
        </w:rPr>
      </w:pPr>
      <w:r w:rsidRPr="005F0E25">
        <w:rPr>
          <w:b/>
          <w:bCs/>
          <w:color w:val="131314"/>
          <w:sz w:val="20"/>
          <w:szCs w:val="20"/>
        </w:rPr>
        <w:t>Conclusion</w:t>
      </w:r>
    </w:p>
    <w:p w14:paraId="5CC17418" w14:textId="77777777" w:rsidR="005F0E25" w:rsidRPr="005F0E25" w:rsidRDefault="005F0E25" w:rsidP="005F0E25">
      <w:pPr>
        <w:jc w:val="both"/>
        <w:rPr>
          <w:color w:val="131314"/>
          <w:sz w:val="20"/>
          <w:szCs w:val="20"/>
        </w:rPr>
      </w:pPr>
      <w:r w:rsidRPr="005F0E25">
        <w:rPr>
          <w:color w:val="131314"/>
          <w:sz w:val="20"/>
          <w:szCs w:val="20"/>
        </w:rPr>
        <w:t>This study provides "paradigm-shifting evidence" that the host's humoral response to specific, conserved regions of the enterovirus genome—specifically the 3D and VP1 regions—is associated with the initiation of islet autoimmunity. This necessitates a new framework for studying host-virus interactions in autoimmune pathogenesis, focusing on conserved sequence patterns rather than specific viral species. Further longitudinal studies are required to determine if these antibody signatures can predict progression from IA to clinical type 1 diabetes.</w:t>
      </w:r>
    </w:p>
    <w:p w14:paraId="733F82EB" w14:textId="77777777" w:rsidR="005F0E25" w:rsidRPr="005F0E25" w:rsidRDefault="005F0E25" w:rsidP="00A433DD">
      <w:pPr>
        <w:rPr>
          <w:color w:val="131314"/>
          <w:sz w:val="20"/>
          <w:szCs w:val="20"/>
        </w:rPr>
      </w:pPr>
    </w:p>
    <w:sectPr w:rsidR="005F0E25" w:rsidRPr="005F0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A31"/>
    <w:multiLevelType w:val="multilevel"/>
    <w:tmpl w:val="7248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3175D"/>
    <w:multiLevelType w:val="multilevel"/>
    <w:tmpl w:val="0E90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C2970"/>
    <w:multiLevelType w:val="hybridMultilevel"/>
    <w:tmpl w:val="78D02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9C0B31"/>
    <w:multiLevelType w:val="multilevel"/>
    <w:tmpl w:val="3036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B30DF"/>
    <w:multiLevelType w:val="multilevel"/>
    <w:tmpl w:val="17B4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B1FED"/>
    <w:multiLevelType w:val="multilevel"/>
    <w:tmpl w:val="E914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93BED"/>
    <w:multiLevelType w:val="multilevel"/>
    <w:tmpl w:val="77BCD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A03D3"/>
    <w:multiLevelType w:val="multilevel"/>
    <w:tmpl w:val="BDE6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C45D5"/>
    <w:multiLevelType w:val="multilevel"/>
    <w:tmpl w:val="8D3E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8139E"/>
    <w:multiLevelType w:val="multilevel"/>
    <w:tmpl w:val="B456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F782E"/>
    <w:multiLevelType w:val="hybridMultilevel"/>
    <w:tmpl w:val="8E7E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1587B"/>
    <w:multiLevelType w:val="multilevel"/>
    <w:tmpl w:val="4E8A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626E9C"/>
    <w:multiLevelType w:val="multilevel"/>
    <w:tmpl w:val="62C6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77FEE"/>
    <w:multiLevelType w:val="multilevel"/>
    <w:tmpl w:val="2A82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80FDF"/>
    <w:multiLevelType w:val="multilevel"/>
    <w:tmpl w:val="08A2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C63CEF"/>
    <w:multiLevelType w:val="multilevel"/>
    <w:tmpl w:val="AD14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C70A3"/>
    <w:multiLevelType w:val="multilevel"/>
    <w:tmpl w:val="94EC92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362188B"/>
    <w:multiLevelType w:val="multilevel"/>
    <w:tmpl w:val="7888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BF4E7D"/>
    <w:multiLevelType w:val="hybridMultilevel"/>
    <w:tmpl w:val="C48A615E"/>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19" w15:restartNumberingAfterBreak="0">
    <w:nsid w:val="2EA52854"/>
    <w:multiLevelType w:val="hybridMultilevel"/>
    <w:tmpl w:val="B81CB9F6"/>
    <w:lvl w:ilvl="0" w:tplc="94748E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07B84"/>
    <w:multiLevelType w:val="multilevel"/>
    <w:tmpl w:val="967A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21631B"/>
    <w:multiLevelType w:val="multilevel"/>
    <w:tmpl w:val="972E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AA06F4"/>
    <w:multiLevelType w:val="multilevel"/>
    <w:tmpl w:val="C5CCD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31DA5"/>
    <w:multiLevelType w:val="multilevel"/>
    <w:tmpl w:val="F9A8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A04F7E"/>
    <w:multiLevelType w:val="multilevel"/>
    <w:tmpl w:val="C41E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5441BC"/>
    <w:multiLevelType w:val="hybridMultilevel"/>
    <w:tmpl w:val="A038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846734"/>
    <w:multiLevelType w:val="multilevel"/>
    <w:tmpl w:val="1670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40708F"/>
    <w:multiLevelType w:val="multilevel"/>
    <w:tmpl w:val="D2A6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CC022F"/>
    <w:multiLevelType w:val="multilevel"/>
    <w:tmpl w:val="0C22E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A86612"/>
    <w:multiLevelType w:val="hybridMultilevel"/>
    <w:tmpl w:val="3F06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751B9"/>
    <w:multiLevelType w:val="multilevel"/>
    <w:tmpl w:val="D08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A24559"/>
    <w:multiLevelType w:val="multilevel"/>
    <w:tmpl w:val="7752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CB48AD"/>
    <w:multiLevelType w:val="multilevel"/>
    <w:tmpl w:val="CBD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1F2EFD"/>
    <w:multiLevelType w:val="hybridMultilevel"/>
    <w:tmpl w:val="899C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C91B51"/>
    <w:multiLevelType w:val="multilevel"/>
    <w:tmpl w:val="387C4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627B42"/>
    <w:multiLevelType w:val="multilevel"/>
    <w:tmpl w:val="BCCE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9C3A5D"/>
    <w:multiLevelType w:val="multilevel"/>
    <w:tmpl w:val="6AFE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9574C7"/>
    <w:multiLevelType w:val="multilevel"/>
    <w:tmpl w:val="839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206B8A"/>
    <w:multiLevelType w:val="multilevel"/>
    <w:tmpl w:val="B986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FD46C3"/>
    <w:multiLevelType w:val="multilevel"/>
    <w:tmpl w:val="BECC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15476D"/>
    <w:multiLevelType w:val="multilevel"/>
    <w:tmpl w:val="A6BE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064A14"/>
    <w:multiLevelType w:val="multilevel"/>
    <w:tmpl w:val="5276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066A2B"/>
    <w:multiLevelType w:val="multilevel"/>
    <w:tmpl w:val="916C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D21E68"/>
    <w:multiLevelType w:val="multilevel"/>
    <w:tmpl w:val="7D664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102C06"/>
    <w:multiLevelType w:val="multilevel"/>
    <w:tmpl w:val="3104C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947756"/>
    <w:multiLevelType w:val="multilevel"/>
    <w:tmpl w:val="C1F2E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3D6153"/>
    <w:multiLevelType w:val="hybridMultilevel"/>
    <w:tmpl w:val="F150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6D76A9"/>
    <w:multiLevelType w:val="multilevel"/>
    <w:tmpl w:val="0D6E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44041D"/>
    <w:multiLevelType w:val="multilevel"/>
    <w:tmpl w:val="026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BC2539"/>
    <w:multiLevelType w:val="multilevel"/>
    <w:tmpl w:val="637E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8F2550"/>
    <w:multiLevelType w:val="hybridMultilevel"/>
    <w:tmpl w:val="7398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F731C2"/>
    <w:multiLevelType w:val="multilevel"/>
    <w:tmpl w:val="2DC6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FA6A19"/>
    <w:multiLevelType w:val="multilevel"/>
    <w:tmpl w:val="F87C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2445C9"/>
    <w:multiLevelType w:val="multilevel"/>
    <w:tmpl w:val="C0E8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467A72"/>
    <w:multiLevelType w:val="multilevel"/>
    <w:tmpl w:val="6B48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D40AD5"/>
    <w:multiLevelType w:val="multilevel"/>
    <w:tmpl w:val="90C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473211"/>
    <w:multiLevelType w:val="multilevel"/>
    <w:tmpl w:val="E73E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8E6251"/>
    <w:multiLevelType w:val="multilevel"/>
    <w:tmpl w:val="FAC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B8165E"/>
    <w:multiLevelType w:val="multilevel"/>
    <w:tmpl w:val="AD5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FF2FF6"/>
    <w:multiLevelType w:val="multilevel"/>
    <w:tmpl w:val="4A147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C200CE"/>
    <w:multiLevelType w:val="hybridMultilevel"/>
    <w:tmpl w:val="F488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F503BF"/>
    <w:multiLevelType w:val="multilevel"/>
    <w:tmpl w:val="D54C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7234EF"/>
    <w:multiLevelType w:val="multilevel"/>
    <w:tmpl w:val="C58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6F1FDD"/>
    <w:multiLevelType w:val="multilevel"/>
    <w:tmpl w:val="31E4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194CAA"/>
    <w:multiLevelType w:val="multilevel"/>
    <w:tmpl w:val="D91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C45E49"/>
    <w:multiLevelType w:val="multilevel"/>
    <w:tmpl w:val="E0804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967E66"/>
    <w:multiLevelType w:val="multilevel"/>
    <w:tmpl w:val="C044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DF4525"/>
    <w:multiLevelType w:val="multilevel"/>
    <w:tmpl w:val="99D4E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0B3A73"/>
    <w:multiLevelType w:val="hybridMultilevel"/>
    <w:tmpl w:val="0740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236AC7"/>
    <w:multiLevelType w:val="multilevel"/>
    <w:tmpl w:val="6584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254067">
    <w:abstractNumId w:val="29"/>
  </w:num>
  <w:num w:numId="2" w16cid:durableId="1990866663">
    <w:abstractNumId w:val="68"/>
  </w:num>
  <w:num w:numId="3" w16cid:durableId="1083834980">
    <w:abstractNumId w:val="60"/>
  </w:num>
  <w:num w:numId="4" w16cid:durableId="1104958541">
    <w:abstractNumId w:val="50"/>
  </w:num>
  <w:num w:numId="5" w16cid:durableId="1302538259">
    <w:abstractNumId w:val="18"/>
  </w:num>
  <w:num w:numId="6" w16cid:durableId="1689480912">
    <w:abstractNumId w:val="2"/>
  </w:num>
  <w:num w:numId="7" w16cid:durableId="1123619722">
    <w:abstractNumId w:val="25"/>
  </w:num>
  <w:num w:numId="8" w16cid:durableId="841704486">
    <w:abstractNumId w:val="46"/>
  </w:num>
  <w:num w:numId="9" w16cid:durableId="358552443">
    <w:abstractNumId w:val="10"/>
  </w:num>
  <w:num w:numId="10" w16cid:durableId="1909220594">
    <w:abstractNumId w:val="11"/>
  </w:num>
  <w:num w:numId="11" w16cid:durableId="1843932236">
    <w:abstractNumId w:val="47"/>
  </w:num>
  <w:num w:numId="12" w16cid:durableId="859390183">
    <w:abstractNumId w:val="7"/>
  </w:num>
  <w:num w:numId="13" w16cid:durableId="1802503735">
    <w:abstractNumId w:val="14"/>
  </w:num>
  <w:num w:numId="14" w16cid:durableId="877936301">
    <w:abstractNumId w:val="19"/>
  </w:num>
  <w:num w:numId="15" w16cid:durableId="1212310209">
    <w:abstractNumId w:val="33"/>
  </w:num>
  <w:num w:numId="16" w16cid:durableId="1164400272">
    <w:abstractNumId w:val="16"/>
  </w:num>
  <w:num w:numId="17" w16cid:durableId="974991403">
    <w:abstractNumId w:val="64"/>
  </w:num>
  <w:num w:numId="18" w16cid:durableId="784887784">
    <w:abstractNumId w:val="20"/>
  </w:num>
  <w:num w:numId="19" w16cid:durableId="1804888128">
    <w:abstractNumId w:val="55"/>
  </w:num>
  <w:num w:numId="20" w16cid:durableId="1220357442">
    <w:abstractNumId w:val="17"/>
  </w:num>
  <w:num w:numId="21" w16cid:durableId="1080254529">
    <w:abstractNumId w:val="57"/>
  </w:num>
  <w:num w:numId="22" w16cid:durableId="812452886">
    <w:abstractNumId w:val="54"/>
  </w:num>
  <w:num w:numId="23" w16cid:durableId="484127111">
    <w:abstractNumId w:val="56"/>
  </w:num>
  <w:num w:numId="24" w16cid:durableId="1234968398">
    <w:abstractNumId w:val="32"/>
  </w:num>
  <w:num w:numId="25" w16cid:durableId="1855194197">
    <w:abstractNumId w:val="13"/>
  </w:num>
  <w:num w:numId="26" w16cid:durableId="1657299415">
    <w:abstractNumId w:val="35"/>
  </w:num>
  <w:num w:numId="27" w16cid:durableId="1696886233">
    <w:abstractNumId w:val="28"/>
  </w:num>
  <w:num w:numId="28" w16cid:durableId="833492615">
    <w:abstractNumId w:val="58"/>
  </w:num>
  <w:num w:numId="29" w16cid:durableId="194849902">
    <w:abstractNumId w:val="44"/>
  </w:num>
  <w:num w:numId="30" w16cid:durableId="396978023">
    <w:abstractNumId w:val="27"/>
  </w:num>
  <w:num w:numId="31" w16cid:durableId="1568495420">
    <w:abstractNumId w:val="22"/>
  </w:num>
  <w:num w:numId="32" w16cid:durableId="1402948218">
    <w:abstractNumId w:val="51"/>
  </w:num>
  <w:num w:numId="33" w16cid:durableId="1378966778">
    <w:abstractNumId w:val="12"/>
  </w:num>
  <w:num w:numId="34" w16cid:durableId="1884439609">
    <w:abstractNumId w:val="24"/>
  </w:num>
  <w:num w:numId="35" w16cid:durableId="1714572322">
    <w:abstractNumId w:val="6"/>
  </w:num>
  <w:num w:numId="36" w16cid:durableId="1958833998">
    <w:abstractNumId w:val="59"/>
  </w:num>
  <w:num w:numId="37" w16cid:durableId="1479153968">
    <w:abstractNumId w:val="36"/>
  </w:num>
  <w:num w:numId="38" w16cid:durableId="411438706">
    <w:abstractNumId w:val="8"/>
  </w:num>
  <w:num w:numId="39" w16cid:durableId="238372950">
    <w:abstractNumId w:val="43"/>
  </w:num>
  <w:num w:numId="40" w16cid:durableId="993946927">
    <w:abstractNumId w:val="34"/>
  </w:num>
  <w:num w:numId="41" w16cid:durableId="995188166">
    <w:abstractNumId w:val="3"/>
  </w:num>
  <w:num w:numId="42" w16cid:durableId="2078547866">
    <w:abstractNumId w:val="30"/>
  </w:num>
  <w:num w:numId="43" w16cid:durableId="1547108732">
    <w:abstractNumId w:val="15"/>
  </w:num>
  <w:num w:numId="44" w16cid:durableId="423918487">
    <w:abstractNumId w:val="23"/>
  </w:num>
  <w:num w:numId="45" w16cid:durableId="1557013234">
    <w:abstractNumId w:val="39"/>
  </w:num>
  <w:num w:numId="46" w16cid:durableId="1784769281">
    <w:abstractNumId w:val="42"/>
  </w:num>
  <w:num w:numId="47" w16cid:durableId="819267132">
    <w:abstractNumId w:val="48"/>
  </w:num>
  <w:num w:numId="48" w16cid:durableId="2115010416">
    <w:abstractNumId w:val="61"/>
  </w:num>
  <w:num w:numId="49" w16cid:durableId="816071572">
    <w:abstractNumId w:val="49"/>
  </w:num>
  <w:num w:numId="50" w16cid:durableId="453445625">
    <w:abstractNumId w:val="38"/>
  </w:num>
  <w:num w:numId="51" w16cid:durableId="1647392103">
    <w:abstractNumId w:val="52"/>
  </w:num>
  <w:num w:numId="52" w16cid:durableId="362946324">
    <w:abstractNumId w:val="66"/>
  </w:num>
  <w:num w:numId="53" w16cid:durableId="2126850147">
    <w:abstractNumId w:val="67"/>
  </w:num>
  <w:num w:numId="54" w16cid:durableId="1826435886">
    <w:abstractNumId w:val="0"/>
  </w:num>
  <w:num w:numId="55" w16cid:durableId="203057888">
    <w:abstractNumId w:val="31"/>
  </w:num>
  <w:num w:numId="56" w16cid:durableId="486437410">
    <w:abstractNumId w:val="4"/>
  </w:num>
  <w:num w:numId="57" w16cid:durableId="776288856">
    <w:abstractNumId w:val="40"/>
  </w:num>
  <w:num w:numId="58" w16cid:durableId="175852004">
    <w:abstractNumId w:val="62"/>
  </w:num>
  <w:num w:numId="59" w16cid:durableId="470632629">
    <w:abstractNumId w:val="65"/>
  </w:num>
  <w:num w:numId="60" w16cid:durableId="1606309706">
    <w:abstractNumId w:val="1"/>
  </w:num>
  <w:num w:numId="61" w16cid:durableId="1030909571">
    <w:abstractNumId w:val="63"/>
  </w:num>
  <w:num w:numId="62" w16cid:durableId="1111556803">
    <w:abstractNumId w:val="41"/>
  </w:num>
  <w:num w:numId="63" w16cid:durableId="90442961">
    <w:abstractNumId w:val="53"/>
  </w:num>
  <w:num w:numId="64" w16cid:durableId="714352204">
    <w:abstractNumId w:val="37"/>
  </w:num>
  <w:num w:numId="65" w16cid:durableId="877742428">
    <w:abstractNumId w:val="45"/>
  </w:num>
  <w:num w:numId="66" w16cid:durableId="1617129236">
    <w:abstractNumId w:val="5"/>
  </w:num>
  <w:num w:numId="67" w16cid:durableId="1391735158">
    <w:abstractNumId w:val="9"/>
  </w:num>
  <w:num w:numId="68" w16cid:durableId="2137483484">
    <w:abstractNumId w:val="21"/>
  </w:num>
  <w:num w:numId="69" w16cid:durableId="694118754">
    <w:abstractNumId w:val="69"/>
  </w:num>
  <w:num w:numId="70" w16cid:durableId="8559210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ED"/>
    <w:rsid w:val="00076BBB"/>
    <w:rsid w:val="00112D6D"/>
    <w:rsid w:val="00143B82"/>
    <w:rsid w:val="001D6C94"/>
    <w:rsid w:val="002237A0"/>
    <w:rsid w:val="003653C9"/>
    <w:rsid w:val="00465BB0"/>
    <w:rsid w:val="0046682A"/>
    <w:rsid w:val="004C2616"/>
    <w:rsid w:val="0059732A"/>
    <w:rsid w:val="005C786F"/>
    <w:rsid w:val="005D7E19"/>
    <w:rsid w:val="005F0E25"/>
    <w:rsid w:val="00611189"/>
    <w:rsid w:val="00645F9B"/>
    <w:rsid w:val="006C5590"/>
    <w:rsid w:val="00822424"/>
    <w:rsid w:val="00825680"/>
    <w:rsid w:val="008536ED"/>
    <w:rsid w:val="009A1FC0"/>
    <w:rsid w:val="00A433DD"/>
    <w:rsid w:val="00B03786"/>
    <w:rsid w:val="00CF76F3"/>
    <w:rsid w:val="00D46EDE"/>
    <w:rsid w:val="00E8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F363"/>
  <w15:chartTrackingRefBased/>
  <w15:docId w15:val="{1A40A1A8-985A-E84C-A642-CD9D44EB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9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3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3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3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6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6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6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6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3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3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6ED"/>
    <w:rPr>
      <w:rFonts w:eastAsiaTheme="majorEastAsia" w:cstheme="majorBidi"/>
      <w:color w:val="272727" w:themeColor="text1" w:themeTint="D8"/>
    </w:rPr>
  </w:style>
  <w:style w:type="paragraph" w:styleId="Title">
    <w:name w:val="Title"/>
    <w:basedOn w:val="Normal"/>
    <w:next w:val="Normal"/>
    <w:link w:val="TitleChar"/>
    <w:uiPriority w:val="10"/>
    <w:qFormat/>
    <w:rsid w:val="00853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6ED"/>
    <w:pPr>
      <w:spacing w:before="160"/>
      <w:jc w:val="center"/>
    </w:pPr>
    <w:rPr>
      <w:i/>
      <w:iCs/>
      <w:color w:val="404040" w:themeColor="text1" w:themeTint="BF"/>
    </w:rPr>
  </w:style>
  <w:style w:type="character" w:customStyle="1" w:styleId="QuoteChar">
    <w:name w:val="Quote Char"/>
    <w:basedOn w:val="DefaultParagraphFont"/>
    <w:link w:val="Quote"/>
    <w:uiPriority w:val="29"/>
    <w:rsid w:val="008536ED"/>
    <w:rPr>
      <w:i/>
      <w:iCs/>
      <w:color w:val="404040" w:themeColor="text1" w:themeTint="BF"/>
    </w:rPr>
  </w:style>
  <w:style w:type="paragraph" w:styleId="ListParagraph">
    <w:name w:val="List Paragraph"/>
    <w:basedOn w:val="Normal"/>
    <w:uiPriority w:val="34"/>
    <w:qFormat/>
    <w:rsid w:val="008536ED"/>
    <w:pPr>
      <w:ind w:left="720"/>
      <w:contextualSpacing/>
    </w:pPr>
  </w:style>
  <w:style w:type="character" w:styleId="IntenseEmphasis">
    <w:name w:val="Intense Emphasis"/>
    <w:basedOn w:val="DefaultParagraphFont"/>
    <w:uiPriority w:val="21"/>
    <w:qFormat/>
    <w:rsid w:val="008536ED"/>
    <w:rPr>
      <w:i/>
      <w:iCs/>
      <w:color w:val="0F4761" w:themeColor="accent1" w:themeShade="BF"/>
    </w:rPr>
  </w:style>
  <w:style w:type="paragraph" w:styleId="IntenseQuote">
    <w:name w:val="Intense Quote"/>
    <w:basedOn w:val="Normal"/>
    <w:next w:val="Normal"/>
    <w:link w:val="IntenseQuoteChar"/>
    <w:uiPriority w:val="30"/>
    <w:qFormat/>
    <w:rsid w:val="00853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6ED"/>
    <w:rPr>
      <w:i/>
      <w:iCs/>
      <w:color w:val="0F4761" w:themeColor="accent1" w:themeShade="BF"/>
    </w:rPr>
  </w:style>
  <w:style w:type="character" w:styleId="IntenseReference">
    <w:name w:val="Intense Reference"/>
    <w:basedOn w:val="DefaultParagraphFont"/>
    <w:uiPriority w:val="32"/>
    <w:qFormat/>
    <w:rsid w:val="008536ED"/>
    <w:rPr>
      <w:b/>
      <w:bCs/>
      <w:smallCaps/>
      <w:color w:val="0F4761" w:themeColor="accent1" w:themeShade="BF"/>
      <w:spacing w:val="5"/>
    </w:rPr>
  </w:style>
  <w:style w:type="table" w:styleId="TableGridLight">
    <w:name w:val="Grid Table Light"/>
    <w:basedOn w:val="TableNormal"/>
    <w:uiPriority w:val="40"/>
    <w:rsid w:val="006C55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46EDE"/>
    <w:pPr>
      <w:spacing w:before="100" w:beforeAutospacing="1" w:after="100" w:afterAutospacing="1"/>
    </w:pPr>
  </w:style>
  <w:style w:type="character" w:customStyle="1" w:styleId="apple-converted-space">
    <w:name w:val="apple-converted-space"/>
    <w:basedOn w:val="DefaultParagraphFont"/>
    <w:rsid w:val="00D46EDE"/>
  </w:style>
  <w:style w:type="paragraph" w:customStyle="1" w:styleId="msonormal0">
    <w:name w:val="msonormal"/>
    <w:basedOn w:val="Normal"/>
    <w:rsid w:val="00112D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2343">
      <w:bodyDiv w:val="1"/>
      <w:marLeft w:val="0"/>
      <w:marRight w:val="0"/>
      <w:marTop w:val="0"/>
      <w:marBottom w:val="0"/>
      <w:divBdr>
        <w:top w:val="none" w:sz="0" w:space="0" w:color="auto"/>
        <w:left w:val="none" w:sz="0" w:space="0" w:color="auto"/>
        <w:bottom w:val="none" w:sz="0" w:space="0" w:color="auto"/>
        <w:right w:val="none" w:sz="0" w:space="0" w:color="auto"/>
      </w:divBdr>
      <w:divsChild>
        <w:div w:id="1574005207">
          <w:marLeft w:val="0"/>
          <w:marRight w:val="0"/>
          <w:marTop w:val="0"/>
          <w:marBottom w:val="0"/>
          <w:divBdr>
            <w:top w:val="none" w:sz="0" w:space="0" w:color="auto"/>
            <w:left w:val="none" w:sz="0" w:space="0" w:color="auto"/>
            <w:bottom w:val="none" w:sz="0" w:space="0" w:color="auto"/>
            <w:right w:val="none" w:sz="0" w:space="0" w:color="auto"/>
          </w:divBdr>
        </w:div>
        <w:div w:id="324403485">
          <w:marLeft w:val="0"/>
          <w:marRight w:val="0"/>
          <w:marTop w:val="0"/>
          <w:marBottom w:val="0"/>
          <w:divBdr>
            <w:top w:val="none" w:sz="0" w:space="0" w:color="auto"/>
            <w:left w:val="none" w:sz="0" w:space="0" w:color="auto"/>
            <w:bottom w:val="none" w:sz="0" w:space="0" w:color="auto"/>
            <w:right w:val="none" w:sz="0" w:space="0" w:color="auto"/>
          </w:divBdr>
        </w:div>
        <w:div w:id="956720777">
          <w:marLeft w:val="0"/>
          <w:marRight w:val="0"/>
          <w:marTop w:val="0"/>
          <w:marBottom w:val="0"/>
          <w:divBdr>
            <w:top w:val="none" w:sz="0" w:space="0" w:color="auto"/>
            <w:left w:val="none" w:sz="0" w:space="0" w:color="auto"/>
            <w:bottom w:val="none" w:sz="0" w:space="0" w:color="auto"/>
            <w:right w:val="none" w:sz="0" w:space="0" w:color="auto"/>
          </w:divBdr>
        </w:div>
        <w:div w:id="750395196">
          <w:marLeft w:val="0"/>
          <w:marRight w:val="0"/>
          <w:marTop w:val="0"/>
          <w:marBottom w:val="0"/>
          <w:divBdr>
            <w:top w:val="none" w:sz="0" w:space="0" w:color="auto"/>
            <w:left w:val="none" w:sz="0" w:space="0" w:color="auto"/>
            <w:bottom w:val="none" w:sz="0" w:space="0" w:color="auto"/>
            <w:right w:val="none" w:sz="0" w:space="0" w:color="auto"/>
          </w:divBdr>
        </w:div>
        <w:div w:id="1221556727">
          <w:marLeft w:val="0"/>
          <w:marRight w:val="0"/>
          <w:marTop w:val="0"/>
          <w:marBottom w:val="0"/>
          <w:divBdr>
            <w:top w:val="none" w:sz="0" w:space="0" w:color="auto"/>
            <w:left w:val="none" w:sz="0" w:space="0" w:color="auto"/>
            <w:bottom w:val="none" w:sz="0" w:space="0" w:color="auto"/>
            <w:right w:val="none" w:sz="0" w:space="0" w:color="auto"/>
          </w:divBdr>
        </w:div>
        <w:div w:id="655109970">
          <w:marLeft w:val="0"/>
          <w:marRight w:val="0"/>
          <w:marTop w:val="0"/>
          <w:marBottom w:val="0"/>
          <w:divBdr>
            <w:top w:val="none" w:sz="0" w:space="0" w:color="auto"/>
            <w:left w:val="none" w:sz="0" w:space="0" w:color="auto"/>
            <w:bottom w:val="none" w:sz="0" w:space="0" w:color="auto"/>
            <w:right w:val="none" w:sz="0" w:space="0" w:color="auto"/>
          </w:divBdr>
        </w:div>
        <w:div w:id="2060863274">
          <w:marLeft w:val="0"/>
          <w:marRight w:val="0"/>
          <w:marTop w:val="0"/>
          <w:marBottom w:val="0"/>
          <w:divBdr>
            <w:top w:val="none" w:sz="0" w:space="0" w:color="auto"/>
            <w:left w:val="none" w:sz="0" w:space="0" w:color="auto"/>
            <w:bottom w:val="none" w:sz="0" w:space="0" w:color="auto"/>
            <w:right w:val="none" w:sz="0" w:space="0" w:color="auto"/>
          </w:divBdr>
        </w:div>
        <w:div w:id="597759870">
          <w:marLeft w:val="0"/>
          <w:marRight w:val="0"/>
          <w:marTop w:val="0"/>
          <w:marBottom w:val="0"/>
          <w:divBdr>
            <w:top w:val="none" w:sz="0" w:space="0" w:color="auto"/>
            <w:left w:val="none" w:sz="0" w:space="0" w:color="auto"/>
            <w:bottom w:val="none" w:sz="0" w:space="0" w:color="auto"/>
            <w:right w:val="none" w:sz="0" w:space="0" w:color="auto"/>
          </w:divBdr>
        </w:div>
        <w:div w:id="1560894836">
          <w:marLeft w:val="0"/>
          <w:marRight w:val="0"/>
          <w:marTop w:val="0"/>
          <w:marBottom w:val="0"/>
          <w:divBdr>
            <w:top w:val="none" w:sz="0" w:space="0" w:color="auto"/>
            <w:left w:val="none" w:sz="0" w:space="0" w:color="auto"/>
            <w:bottom w:val="none" w:sz="0" w:space="0" w:color="auto"/>
            <w:right w:val="none" w:sz="0" w:space="0" w:color="auto"/>
          </w:divBdr>
        </w:div>
        <w:div w:id="1299458786">
          <w:marLeft w:val="0"/>
          <w:marRight w:val="0"/>
          <w:marTop w:val="0"/>
          <w:marBottom w:val="0"/>
          <w:divBdr>
            <w:top w:val="none" w:sz="0" w:space="0" w:color="auto"/>
            <w:left w:val="none" w:sz="0" w:space="0" w:color="auto"/>
            <w:bottom w:val="none" w:sz="0" w:space="0" w:color="auto"/>
            <w:right w:val="none" w:sz="0" w:space="0" w:color="auto"/>
          </w:divBdr>
        </w:div>
        <w:div w:id="906765010">
          <w:marLeft w:val="0"/>
          <w:marRight w:val="0"/>
          <w:marTop w:val="0"/>
          <w:marBottom w:val="0"/>
          <w:divBdr>
            <w:top w:val="none" w:sz="0" w:space="0" w:color="auto"/>
            <w:left w:val="none" w:sz="0" w:space="0" w:color="auto"/>
            <w:bottom w:val="none" w:sz="0" w:space="0" w:color="auto"/>
            <w:right w:val="none" w:sz="0" w:space="0" w:color="auto"/>
          </w:divBdr>
        </w:div>
        <w:div w:id="1940940236">
          <w:marLeft w:val="0"/>
          <w:marRight w:val="0"/>
          <w:marTop w:val="0"/>
          <w:marBottom w:val="0"/>
          <w:divBdr>
            <w:top w:val="none" w:sz="0" w:space="0" w:color="auto"/>
            <w:left w:val="none" w:sz="0" w:space="0" w:color="auto"/>
            <w:bottom w:val="none" w:sz="0" w:space="0" w:color="auto"/>
            <w:right w:val="none" w:sz="0" w:space="0" w:color="auto"/>
          </w:divBdr>
        </w:div>
        <w:div w:id="1585794305">
          <w:marLeft w:val="0"/>
          <w:marRight w:val="0"/>
          <w:marTop w:val="0"/>
          <w:marBottom w:val="0"/>
          <w:divBdr>
            <w:top w:val="none" w:sz="0" w:space="0" w:color="auto"/>
            <w:left w:val="none" w:sz="0" w:space="0" w:color="auto"/>
            <w:bottom w:val="none" w:sz="0" w:space="0" w:color="auto"/>
            <w:right w:val="none" w:sz="0" w:space="0" w:color="auto"/>
          </w:divBdr>
        </w:div>
        <w:div w:id="972247701">
          <w:marLeft w:val="0"/>
          <w:marRight w:val="0"/>
          <w:marTop w:val="0"/>
          <w:marBottom w:val="0"/>
          <w:divBdr>
            <w:top w:val="none" w:sz="0" w:space="0" w:color="auto"/>
            <w:left w:val="none" w:sz="0" w:space="0" w:color="auto"/>
            <w:bottom w:val="none" w:sz="0" w:space="0" w:color="auto"/>
            <w:right w:val="none" w:sz="0" w:space="0" w:color="auto"/>
          </w:divBdr>
        </w:div>
        <w:div w:id="1065562815">
          <w:marLeft w:val="0"/>
          <w:marRight w:val="0"/>
          <w:marTop w:val="0"/>
          <w:marBottom w:val="0"/>
          <w:divBdr>
            <w:top w:val="none" w:sz="0" w:space="0" w:color="auto"/>
            <w:left w:val="none" w:sz="0" w:space="0" w:color="auto"/>
            <w:bottom w:val="none" w:sz="0" w:space="0" w:color="auto"/>
            <w:right w:val="none" w:sz="0" w:space="0" w:color="auto"/>
          </w:divBdr>
        </w:div>
        <w:div w:id="1630209233">
          <w:marLeft w:val="0"/>
          <w:marRight w:val="0"/>
          <w:marTop w:val="0"/>
          <w:marBottom w:val="0"/>
          <w:divBdr>
            <w:top w:val="none" w:sz="0" w:space="0" w:color="auto"/>
            <w:left w:val="none" w:sz="0" w:space="0" w:color="auto"/>
            <w:bottom w:val="none" w:sz="0" w:space="0" w:color="auto"/>
            <w:right w:val="none" w:sz="0" w:space="0" w:color="auto"/>
          </w:divBdr>
        </w:div>
        <w:div w:id="1215117116">
          <w:marLeft w:val="0"/>
          <w:marRight w:val="0"/>
          <w:marTop w:val="0"/>
          <w:marBottom w:val="0"/>
          <w:divBdr>
            <w:top w:val="none" w:sz="0" w:space="0" w:color="auto"/>
            <w:left w:val="none" w:sz="0" w:space="0" w:color="auto"/>
            <w:bottom w:val="none" w:sz="0" w:space="0" w:color="auto"/>
            <w:right w:val="none" w:sz="0" w:space="0" w:color="auto"/>
          </w:divBdr>
        </w:div>
        <w:div w:id="86736503">
          <w:marLeft w:val="0"/>
          <w:marRight w:val="0"/>
          <w:marTop w:val="0"/>
          <w:marBottom w:val="0"/>
          <w:divBdr>
            <w:top w:val="none" w:sz="0" w:space="0" w:color="auto"/>
            <w:left w:val="none" w:sz="0" w:space="0" w:color="auto"/>
            <w:bottom w:val="none" w:sz="0" w:space="0" w:color="auto"/>
            <w:right w:val="none" w:sz="0" w:space="0" w:color="auto"/>
          </w:divBdr>
        </w:div>
        <w:div w:id="1346833342">
          <w:marLeft w:val="0"/>
          <w:marRight w:val="0"/>
          <w:marTop w:val="0"/>
          <w:marBottom w:val="0"/>
          <w:divBdr>
            <w:top w:val="none" w:sz="0" w:space="0" w:color="auto"/>
            <w:left w:val="none" w:sz="0" w:space="0" w:color="auto"/>
            <w:bottom w:val="none" w:sz="0" w:space="0" w:color="auto"/>
            <w:right w:val="none" w:sz="0" w:space="0" w:color="auto"/>
          </w:divBdr>
        </w:div>
        <w:div w:id="2064870609">
          <w:marLeft w:val="0"/>
          <w:marRight w:val="0"/>
          <w:marTop w:val="0"/>
          <w:marBottom w:val="0"/>
          <w:divBdr>
            <w:top w:val="none" w:sz="0" w:space="0" w:color="auto"/>
            <w:left w:val="none" w:sz="0" w:space="0" w:color="auto"/>
            <w:bottom w:val="none" w:sz="0" w:space="0" w:color="auto"/>
            <w:right w:val="none" w:sz="0" w:space="0" w:color="auto"/>
          </w:divBdr>
        </w:div>
        <w:div w:id="642319681">
          <w:marLeft w:val="0"/>
          <w:marRight w:val="0"/>
          <w:marTop w:val="0"/>
          <w:marBottom w:val="0"/>
          <w:divBdr>
            <w:top w:val="none" w:sz="0" w:space="0" w:color="auto"/>
            <w:left w:val="none" w:sz="0" w:space="0" w:color="auto"/>
            <w:bottom w:val="none" w:sz="0" w:space="0" w:color="auto"/>
            <w:right w:val="none" w:sz="0" w:space="0" w:color="auto"/>
          </w:divBdr>
        </w:div>
        <w:div w:id="447089015">
          <w:marLeft w:val="0"/>
          <w:marRight w:val="0"/>
          <w:marTop w:val="0"/>
          <w:marBottom w:val="0"/>
          <w:divBdr>
            <w:top w:val="none" w:sz="0" w:space="0" w:color="auto"/>
            <w:left w:val="none" w:sz="0" w:space="0" w:color="auto"/>
            <w:bottom w:val="none" w:sz="0" w:space="0" w:color="auto"/>
            <w:right w:val="none" w:sz="0" w:space="0" w:color="auto"/>
          </w:divBdr>
        </w:div>
        <w:div w:id="861237181">
          <w:marLeft w:val="0"/>
          <w:marRight w:val="0"/>
          <w:marTop w:val="0"/>
          <w:marBottom w:val="0"/>
          <w:divBdr>
            <w:top w:val="none" w:sz="0" w:space="0" w:color="auto"/>
            <w:left w:val="none" w:sz="0" w:space="0" w:color="auto"/>
            <w:bottom w:val="none" w:sz="0" w:space="0" w:color="auto"/>
            <w:right w:val="none" w:sz="0" w:space="0" w:color="auto"/>
          </w:divBdr>
        </w:div>
        <w:div w:id="1570382436">
          <w:marLeft w:val="0"/>
          <w:marRight w:val="0"/>
          <w:marTop w:val="0"/>
          <w:marBottom w:val="0"/>
          <w:divBdr>
            <w:top w:val="none" w:sz="0" w:space="0" w:color="auto"/>
            <w:left w:val="none" w:sz="0" w:space="0" w:color="auto"/>
            <w:bottom w:val="none" w:sz="0" w:space="0" w:color="auto"/>
            <w:right w:val="none" w:sz="0" w:space="0" w:color="auto"/>
          </w:divBdr>
        </w:div>
      </w:divsChild>
    </w:div>
    <w:div w:id="231552599">
      <w:bodyDiv w:val="1"/>
      <w:marLeft w:val="0"/>
      <w:marRight w:val="0"/>
      <w:marTop w:val="0"/>
      <w:marBottom w:val="0"/>
      <w:divBdr>
        <w:top w:val="none" w:sz="0" w:space="0" w:color="auto"/>
        <w:left w:val="none" w:sz="0" w:space="0" w:color="auto"/>
        <w:bottom w:val="none" w:sz="0" w:space="0" w:color="auto"/>
        <w:right w:val="none" w:sz="0" w:space="0" w:color="auto"/>
      </w:divBdr>
    </w:div>
    <w:div w:id="471141537">
      <w:bodyDiv w:val="1"/>
      <w:marLeft w:val="0"/>
      <w:marRight w:val="0"/>
      <w:marTop w:val="0"/>
      <w:marBottom w:val="0"/>
      <w:divBdr>
        <w:top w:val="none" w:sz="0" w:space="0" w:color="auto"/>
        <w:left w:val="none" w:sz="0" w:space="0" w:color="auto"/>
        <w:bottom w:val="none" w:sz="0" w:space="0" w:color="auto"/>
        <w:right w:val="none" w:sz="0" w:space="0" w:color="auto"/>
      </w:divBdr>
    </w:div>
    <w:div w:id="612982707">
      <w:bodyDiv w:val="1"/>
      <w:marLeft w:val="0"/>
      <w:marRight w:val="0"/>
      <w:marTop w:val="0"/>
      <w:marBottom w:val="0"/>
      <w:divBdr>
        <w:top w:val="none" w:sz="0" w:space="0" w:color="auto"/>
        <w:left w:val="none" w:sz="0" w:space="0" w:color="auto"/>
        <w:bottom w:val="none" w:sz="0" w:space="0" w:color="auto"/>
        <w:right w:val="none" w:sz="0" w:space="0" w:color="auto"/>
      </w:divBdr>
    </w:div>
    <w:div w:id="629286033">
      <w:bodyDiv w:val="1"/>
      <w:marLeft w:val="0"/>
      <w:marRight w:val="0"/>
      <w:marTop w:val="0"/>
      <w:marBottom w:val="0"/>
      <w:divBdr>
        <w:top w:val="none" w:sz="0" w:space="0" w:color="auto"/>
        <w:left w:val="none" w:sz="0" w:space="0" w:color="auto"/>
        <w:bottom w:val="none" w:sz="0" w:space="0" w:color="auto"/>
        <w:right w:val="none" w:sz="0" w:space="0" w:color="auto"/>
      </w:divBdr>
    </w:div>
    <w:div w:id="799415866">
      <w:bodyDiv w:val="1"/>
      <w:marLeft w:val="0"/>
      <w:marRight w:val="0"/>
      <w:marTop w:val="0"/>
      <w:marBottom w:val="0"/>
      <w:divBdr>
        <w:top w:val="none" w:sz="0" w:space="0" w:color="auto"/>
        <w:left w:val="none" w:sz="0" w:space="0" w:color="auto"/>
        <w:bottom w:val="none" w:sz="0" w:space="0" w:color="auto"/>
        <w:right w:val="none" w:sz="0" w:space="0" w:color="auto"/>
      </w:divBdr>
    </w:div>
    <w:div w:id="813957316">
      <w:bodyDiv w:val="1"/>
      <w:marLeft w:val="0"/>
      <w:marRight w:val="0"/>
      <w:marTop w:val="0"/>
      <w:marBottom w:val="0"/>
      <w:divBdr>
        <w:top w:val="none" w:sz="0" w:space="0" w:color="auto"/>
        <w:left w:val="none" w:sz="0" w:space="0" w:color="auto"/>
        <w:bottom w:val="none" w:sz="0" w:space="0" w:color="auto"/>
        <w:right w:val="none" w:sz="0" w:space="0" w:color="auto"/>
      </w:divBdr>
    </w:div>
    <w:div w:id="856503755">
      <w:bodyDiv w:val="1"/>
      <w:marLeft w:val="0"/>
      <w:marRight w:val="0"/>
      <w:marTop w:val="0"/>
      <w:marBottom w:val="0"/>
      <w:divBdr>
        <w:top w:val="none" w:sz="0" w:space="0" w:color="auto"/>
        <w:left w:val="none" w:sz="0" w:space="0" w:color="auto"/>
        <w:bottom w:val="none" w:sz="0" w:space="0" w:color="auto"/>
        <w:right w:val="none" w:sz="0" w:space="0" w:color="auto"/>
      </w:divBdr>
    </w:div>
    <w:div w:id="1397777934">
      <w:bodyDiv w:val="1"/>
      <w:marLeft w:val="0"/>
      <w:marRight w:val="0"/>
      <w:marTop w:val="0"/>
      <w:marBottom w:val="0"/>
      <w:divBdr>
        <w:top w:val="none" w:sz="0" w:space="0" w:color="auto"/>
        <w:left w:val="none" w:sz="0" w:space="0" w:color="auto"/>
        <w:bottom w:val="none" w:sz="0" w:space="0" w:color="auto"/>
        <w:right w:val="none" w:sz="0" w:space="0" w:color="auto"/>
      </w:divBdr>
      <w:divsChild>
        <w:div w:id="969239034">
          <w:marLeft w:val="0"/>
          <w:marRight w:val="0"/>
          <w:marTop w:val="0"/>
          <w:marBottom w:val="0"/>
          <w:divBdr>
            <w:top w:val="none" w:sz="0" w:space="0" w:color="auto"/>
            <w:left w:val="none" w:sz="0" w:space="0" w:color="auto"/>
            <w:bottom w:val="none" w:sz="0" w:space="0" w:color="auto"/>
            <w:right w:val="none" w:sz="0" w:space="0" w:color="auto"/>
          </w:divBdr>
        </w:div>
        <w:div w:id="1426808858">
          <w:marLeft w:val="0"/>
          <w:marRight w:val="0"/>
          <w:marTop w:val="0"/>
          <w:marBottom w:val="0"/>
          <w:divBdr>
            <w:top w:val="none" w:sz="0" w:space="0" w:color="auto"/>
            <w:left w:val="none" w:sz="0" w:space="0" w:color="auto"/>
            <w:bottom w:val="none" w:sz="0" w:space="0" w:color="auto"/>
            <w:right w:val="none" w:sz="0" w:space="0" w:color="auto"/>
          </w:divBdr>
        </w:div>
        <w:div w:id="1688482597">
          <w:marLeft w:val="0"/>
          <w:marRight w:val="0"/>
          <w:marTop w:val="0"/>
          <w:marBottom w:val="0"/>
          <w:divBdr>
            <w:top w:val="none" w:sz="0" w:space="0" w:color="auto"/>
            <w:left w:val="none" w:sz="0" w:space="0" w:color="auto"/>
            <w:bottom w:val="none" w:sz="0" w:space="0" w:color="auto"/>
            <w:right w:val="none" w:sz="0" w:space="0" w:color="auto"/>
          </w:divBdr>
        </w:div>
        <w:div w:id="617836513">
          <w:marLeft w:val="0"/>
          <w:marRight w:val="0"/>
          <w:marTop w:val="0"/>
          <w:marBottom w:val="0"/>
          <w:divBdr>
            <w:top w:val="none" w:sz="0" w:space="0" w:color="auto"/>
            <w:left w:val="none" w:sz="0" w:space="0" w:color="auto"/>
            <w:bottom w:val="none" w:sz="0" w:space="0" w:color="auto"/>
            <w:right w:val="none" w:sz="0" w:space="0" w:color="auto"/>
          </w:divBdr>
        </w:div>
        <w:div w:id="913198393">
          <w:marLeft w:val="0"/>
          <w:marRight w:val="0"/>
          <w:marTop w:val="0"/>
          <w:marBottom w:val="0"/>
          <w:divBdr>
            <w:top w:val="none" w:sz="0" w:space="0" w:color="auto"/>
            <w:left w:val="none" w:sz="0" w:space="0" w:color="auto"/>
            <w:bottom w:val="none" w:sz="0" w:space="0" w:color="auto"/>
            <w:right w:val="none" w:sz="0" w:space="0" w:color="auto"/>
          </w:divBdr>
        </w:div>
        <w:div w:id="457182432">
          <w:marLeft w:val="0"/>
          <w:marRight w:val="0"/>
          <w:marTop w:val="0"/>
          <w:marBottom w:val="0"/>
          <w:divBdr>
            <w:top w:val="none" w:sz="0" w:space="0" w:color="auto"/>
            <w:left w:val="none" w:sz="0" w:space="0" w:color="auto"/>
            <w:bottom w:val="none" w:sz="0" w:space="0" w:color="auto"/>
            <w:right w:val="none" w:sz="0" w:space="0" w:color="auto"/>
          </w:divBdr>
        </w:div>
        <w:div w:id="84037996">
          <w:marLeft w:val="0"/>
          <w:marRight w:val="0"/>
          <w:marTop w:val="0"/>
          <w:marBottom w:val="0"/>
          <w:divBdr>
            <w:top w:val="none" w:sz="0" w:space="0" w:color="auto"/>
            <w:left w:val="none" w:sz="0" w:space="0" w:color="auto"/>
            <w:bottom w:val="none" w:sz="0" w:space="0" w:color="auto"/>
            <w:right w:val="none" w:sz="0" w:space="0" w:color="auto"/>
          </w:divBdr>
        </w:div>
        <w:div w:id="1168792563">
          <w:marLeft w:val="0"/>
          <w:marRight w:val="0"/>
          <w:marTop w:val="0"/>
          <w:marBottom w:val="0"/>
          <w:divBdr>
            <w:top w:val="none" w:sz="0" w:space="0" w:color="auto"/>
            <w:left w:val="none" w:sz="0" w:space="0" w:color="auto"/>
            <w:bottom w:val="none" w:sz="0" w:space="0" w:color="auto"/>
            <w:right w:val="none" w:sz="0" w:space="0" w:color="auto"/>
          </w:divBdr>
        </w:div>
        <w:div w:id="446120568">
          <w:marLeft w:val="0"/>
          <w:marRight w:val="0"/>
          <w:marTop w:val="0"/>
          <w:marBottom w:val="0"/>
          <w:divBdr>
            <w:top w:val="none" w:sz="0" w:space="0" w:color="auto"/>
            <w:left w:val="none" w:sz="0" w:space="0" w:color="auto"/>
            <w:bottom w:val="none" w:sz="0" w:space="0" w:color="auto"/>
            <w:right w:val="none" w:sz="0" w:space="0" w:color="auto"/>
          </w:divBdr>
        </w:div>
        <w:div w:id="306469768">
          <w:marLeft w:val="0"/>
          <w:marRight w:val="0"/>
          <w:marTop w:val="0"/>
          <w:marBottom w:val="0"/>
          <w:divBdr>
            <w:top w:val="none" w:sz="0" w:space="0" w:color="auto"/>
            <w:left w:val="none" w:sz="0" w:space="0" w:color="auto"/>
            <w:bottom w:val="none" w:sz="0" w:space="0" w:color="auto"/>
            <w:right w:val="none" w:sz="0" w:space="0" w:color="auto"/>
          </w:divBdr>
        </w:div>
        <w:div w:id="153499405">
          <w:marLeft w:val="0"/>
          <w:marRight w:val="0"/>
          <w:marTop w:val="0"/>
          <w:marBottom w:val="0"/>
          <w:divBdr>
            <w:top w:val="none" w:sz="0" w:space="0" w:color="auto"/>
            <w:left w:val="none" w:sz="0" w:space="0" w:color="auto"/>
            <w:bottom w:val="none" w:sz="0" w:space="0" w:color="auto"/>
            <w:right w:val="none" w:sz="0" w:space="0" w:color="auto"/>
          </w:divBdr>
        </w:div>
        <w:div w:id="2055033297">
          <w:marLeft w:val="0"/>
          <w:marRight w:val="0"/>
          <w:marTop w:val="0"/>
          <w:marBottom w:val="0"/>
          <w:divBdr>
            <w:top w:val="none" w:sz="0" w:space="0" w:color="auto"/>
            <w:left w:val="none" w:sz="0" w:space="0" w:color="auto"/>
            <w:bottom w:val="none" w:sz="0" w:space="0" w:color="auto"/>
            <w:right w:val="none" w:sz="0" w:space="0" w:color="auto"/>
          </w:divBdr>
        </w:div>
        <w:div w:id="1568833425">
          <w:marLeft w:val="0"/>
          <w:marRight w:val="0"/>
          <w:marTop w:val="0"/>
          <w:marBottom w:val="0"/>
          <w:divBdr>
            <w:top w:val="none" w:sz="0" w:space="0" w:color="auto"/>
            <w:left w:val="none" w:sz="0" w:space="0" w:color="auto"/>
            <w:bottom w:val="none" w:sz="0" w:space="0" w:color="auto"/>
            <w:right w:val="none" w:sz="0" w:space="0" w:color="auto"/>
          </w:divBdr>
        </w:div>
        <w:div w:id="431630732">
          <w:marLeft w:val="0"/>
          <w:marRight w:val="0"/>
          <w:marTop w:val="0"/>
          <w:marBottom w:val="0"/>
          <w:divBdr>
            <w:top w:val="none" w:sz="0" w:space="0" w:color="auto"/>
            <w:left w:val="none" w:sz="0" w:space="0" w:color="auto"/>
            <w:bottom w:val="none" w:sz="0" w:space="0" w:color="auto"/>
            <w:right w:val="none" w:sz="0" w:space="0" w:color="auto"/>
          </w:divBdr>
        </w:div>
        <w:div w:id="2054499651">
          <w:marLeft w:val="0"/>
          <w:marRight w:val="0"/>
          <w:marTop w:val="0"/>
          <w:marBottom w:val="0"/>
          <w:divBdr>
            <w:top w:val="none" w:sz="0" w:space="0" w:color="auto"/>
            <w:left w:val="none" w:sz="0" w:space="0" w:color="auto"/>
            <w:bottom w:val="none" w:sz="0" w:space="0" w:color="auto"/>
            <w:right w:val="none" w:sz="0" w:space="0" w:color="auto"/>
          </w:divBdr>
        </w:div>
        <w:div w:id="99766457">
          <w:marLeft w:val="0"/>
          <w:marRight w:val="0"/>
          <w:marTop w:val="0"/>
          <w:marBottom w:val="0"/>
          <w:divBdr>
            <w:top w:val="none" w:sz="0" w:space="0" w:color="auto"/>
            <w:left w:val="none" w:sz="0" w:space="0" w:color="auto"/>
            <w:bottom w:val="none" w:sz="0" w:space="0" w:color="auto"/>
            <w:right w:val="none" w:sz="0" w:space="0" w:color="auto"/>
          </w:divBdr>
        </w:div>
        <w:div w:id="2045015812">
          <w:marLeft w:val="0"/>
          <w:marRight w:val="0"/>
          <w:marTop w:val="0"/>
          <w:marBottom w:val="0"/>
          <w:divBdr>
            <w:top w:val="none" w:sz="0" w:space="0" w:color="auto"/>
            <w:left w:val="none" w:sz="0" w:space="0" w:color="auto"/>
            <w:bottom w:val="none" w:sz="0" w:space="0" w:color="auto"/>
            <w:right w:val="none" w:sz="0" w:space="0" w:color="auto"/>
          </w:divBdr>
        </w:div>
        <w:div w:id="106242866">
          <w:marLeft w:val="0"/>
          <w:marRight w:val="0"/>
          <w:marTop w:val="0"/>
          <w:marBottom w:val="0"/>
          <w:divBdr>
            <w:top w:val="none" w:sz="0" w:space="0" w:color="auto"/>
            <w:left w:val="none" w:sz="0" w:space="0" w:color="auto"/>
            <w:bottom w:val="none" w:sz="0" w:space="0" w:color="auto"/>
            <w:right w:val="none" w:sz="0" w:space="0" w:color="auto"/>
          </w:divBdr>
        </w:div>
        <w:div w:id="1075393602">
          <w:marLeft w:val="0"/>
          <w:marRight w:val="0"/>
          <w:marTop w:val="0"/>
          <w:marBottom w:val="0"/>
          <w:divBdr>
            <w:top w:val="none" w:sz="0" w:space="0" w:color="auto"/>
            <w:left w:val="none" w:sz="0" w:space="0" w:color="auto"/>
            <w:bottom w:val="none" w:sz="0" w:space="0" w:color="auto"/>
            <w:right w:val="none" w:sz="0" w:space="0" w:color="auto"/>
          </w:divBdr>
        </w:div>
        <w:div w:id="1673681204">
          <w:marLeft w:val="0"/>
          <w:marRight w:val="0"/>
          <w:marTop w:val="0"/>
          <w:marBottom w:val="0"/>
          <w:divBdr>
            <w:top w:val="none" w:sz="0" w:space="0" w:color="auto"/>
            <w:left w:val="none" w:sz="0" w:space="0" w:color="auto"/>
            <w:bottom w:val="none" w:sz="0" w:space="0" w:color="auto"/>
            <w:right w:val="none" w:sz="0" w:space="0" w:color="auto"/>
          </w:divBdr>
        </w:div>
        <w:div w:id="1218470305">
          <w:marLeft w:val="0"/>
          <w:marRight w:val="0"/>
          <w:marTop w:val="0"/>
          <w:marBottom w:val="0"/>
          <w:divBdr>
            <w:top w:val="none" w:sz="0" w:space="0" w:color="auto"/>
            <w:left w:val="none" w:sz="0" w:space="0" w:color="auto"/>
            <w:bottom w:val="none" w:sz="0" w:space="0" w:color="auto"/>
            <w:right w:val="none" w:sz="0" w:space="0" w:color="auto"/>
          </w:divBdr>
        </w:div>
        <w:div w:id="155537144">
          <w:marLeft w:val="0"/>
          <w:marRight w:val="0"/>
          <w:marTop w:val="0"/>
          <w:marBottom w:val="0"/>
          <w:divBdr>
            <w:top w:val="none" w:sz="0" w:space="0" w:color="auto"/>
            <w:left w:val="none" w:sz="0" w:space="0" w:color="auto"/>
            <w:bottom w:val="none" w:sz="0" w:space="0" w:color="auto"/>
            <w:right w:val="none" w:sz="0" w:space="0" w:color="auto"/>
          </w:divBdr>
        </w:div>
        <w:div w:id="762258505">
          <w:marLeft w:val="0"/>
          <w:marRight w:val="0"/>
          <w:marTop w:val="0"/>
          <w:marBottom w:val="0"/>
          <w:divBdr>
            <w:top w:val="none" w:sz="0" w:space="0" w:color="auto"/>
            <w:left w:val="none" w:sz="0" w:space="0" w:color="auto"/>
            <w:bottom w:val="none" w:sz="0" w:space="0" w:color="auto"/>
            <w:right w:val="none" w:sz="0" w:space="0" w:color="auto"/>
          </w:divBdr>
        </w:div>
        <w:div w:id="530919074">
          <w:marLeft w:val="0"/>
          <w:marRight w:val="0"/>
          <w:marTop w:val="0"/>
          <w:marBottom w:val="0"/>
          <w:divBdr>
            <w:top w:val="none" w:sz="0" w:space="0" w:color="auto"/>
            <w:left w:val="none" w:sz="0" w:space="0" w:color="auto"/>
            <w:bottom w:val="none" w:sz="0" w:space="0" w:color="auto"/>
            <w:right w:val="none" w:sz="0" w:space="0" w:color="auto"/>
          </w:divBdr>
        </w:div>
        <w:div w:id="192110976">
          <w:marLeft w:val="0"/>
          <w:marRight w:val="0"/>
          <w:marTop w:val="0"/>
          <w:marBottom w:val="0"/>
          <w:divBdr>
            <w:top w:val="none" w:sz="0" w:space="0" w:color="auto"/>
            <w:left w:val="none" w:sz="0" w:space="0" w:color="auto"/>
            <w:bottom w:val="none" w:sz="0" w:space="0" w:color="auto"/>
            <w:right w:val="none" w:sz="0" w:space="0" w:color="auto"/>
          </w:divBdr>
        </w:div>
        <w:div w:id="229465694">
          <w:marLeft w:val="0"/>
          <w:marRight w:val="0"/>
          <w:marTop w:val="0"/>
          <w:marBottom w:val="0"/>
          <w:divBdr>
            <w:top w:val="none" w:sz="0" w:space="0" w:color="auto"/>
            <w:left w:val="none" w:sz="0" w:space="0" w:color="auto"/>
            <w:bottom w:val="none" w:sz="0" w:space="0" w:color="auto"/>
            <w:right w:val="none" w:sz="0" w:space="0" w:color="auto"/>
          </w:divBdr>
        </w:div>
        <w:div w:id="1750272563">
          <w:marLeft w:val="0"/>
          <w:marRight w:val="0"/>
          <w:marTop w:val="0"/>
          <w:marBottom w:val="0"/>
          <w:divBdr>
            <w:top w:val="none" w:sz="0" w:space="0" w:color="auto"/>
            <w:left w:val="none" w:sz="0" w:space="0" w:color="auto"/>
            <w:bottom w:val="none" w:sz="0" w:space="0" w:color="auto"/>
            <w:right w:val="none" w:sz="0" w:space="0" w:color="auto"/>
          </w:divBdr>
        </w:div>
      </w:divsChild>
    </w:div>
    <w:div w:id="1547135512">
      <w:bodyDiv w:val="1"/>
      <w:marLeft w:val="0"/>
      <w:marRight w:val="0"/>
      <w:marTop w:val="0"/>
      <w:marBottom w:val="0"/>
      <w:divBdr>
        <w:top w:val="none" w:sz="0" w:space="0" w:color="auto"/>
        <w:left w:val="none" w:sz="0" w:space="0" w:color="auto"/>
        <w:bottom w:val="none" w:sz="0" w:space="0" w:color="auto"/>
        <w:right w:val="none" w:sz="0" w:space="0" w:color="auto"/>
      </w:divBdr>
    </w:div>
    <w:div w:id="1683700729">
      <w:bodyDiv w:val="1"/>
      <w:marLeft w:val="0"/>
      <w:marRight w:val="0"/>
      <w:marTop w:val="0"/>
      <w:marBottom w:val="0"/>
      <w:divBdr>
        <w:top w:val="none" w:sz="0" w:space="0" w:color="auto"/>
        <w:left w:val="none" w:sz="0" w:space="0" w:color="auto"/>
        <w:bottom w:val="none" w:sz="0" w:space="0" w:color="auto"/>
        <w:right w:val="none" w:sz="0" w:space="0" w:color="auto"/>
      </w:divBdr>
    </w:div>
    <w:div w:id="19848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Westley PhD</dc:creator>
  <cp:keywords/>
  <dc:description/>
  <cp:lastModifiedBy>Teresa De Toni</cp:lastModifiedBy>
  <cp:revision>15</cp:revision>
  <dcterms:created xsi:type="dcterms:W3CDTF">2025-12-18T19:25:00Z</dcterms:created>
  <dcterms:modified xsi:type="dcterms:W3CDTF">2026-02-19T22:15:00Z</dcterms:modified>
</cp:coreProperties>
</file>