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4AACB0" w14:textId="55BE2714" w:rsidR="009C1363" w:rsidRPr="009C1363" w:rsidRDefault="009C1363" w:rsidP="009C1363">
      <w:pPr>
        <w:shd w:val="clear" w:color="auto" w:fill="FFFFFF"/>
        <w:spacing w:after="0" w:line="240" w:lineRule="auto"/>
        <w:outlineLvl w:val="1"/>
        <w:rPr>
          <w:rFonts w:ascii="Times New Roman" w:eastAsia="Times New Roman" w:hAnsi="Times New Roman" w:cs="Times New Roman"/>
          <w:b/>
          <w:bCs/>
          <w:kern w:val="0"/>
          <w:sz w:val="20"/>
          <w:szCs w:val="20"/>
          <w14:ligatures w14:val="none"/>
        </w:rPr>
      </w:pPr>
      <w:r w:rsidRPr="009C1363">
        <w:rPr>
          <w:rFonts w:ascii="Times New Roman" w:eastAsia="Times New Roman" w:hAnsi="Times New Roman" w:cs="Times New Roman"/>
          <w:b/>
          <w:bCs/>
          <w:color w:val="131314"/>
          <w:kern w:val="0"/>
          <w:sz w:val="20"/>
          <w:szCs w:val="20"/>
          <w14:ligatures w14:val="none"/>
        </w:rPr>
        <w:t>SUMMARY (</w:t>
      </w:r>
      <w:r w:rsidRPr="009C1363">
        <w:rPr>
          <w:rFonts w:ascii="Times New Roman" w:eastAsia="Times New Roman" w:hAnsi="Times New Roman" w:cs="Times New Roman"/>
          <w:b/>
          <w:bCs/>
          <w:color w:val="131314"/>
          <w:kern w:val="0"/>
          <w:sz w:val="20"/>
          <w:szCs w:val="20"/>
          <w14:ligatures w14:val="none"/>
        </w:rPr>
        <w:t>cutting edge</w:t>
      </w:r>
      <w:r w:rsidRPr="009C1363">
        <w:rPr>
          <w:rFonts w:ascii="Times New Roman" w:eastAsia="Times New Roman" w:hAnsi="Times New Roman" w:cs="Times New Roman"/>
          <w:b/>
          <w:bCs/>
          <w:color w:val="131314"/>
          <w:kern w:val="0"/>
          <w:sz w:val="20"/>
          <w:szCs w:val="20"/>
          <w14:ligatures w14:val="none"/>
        </w:rPr>
        <w:t xml:space="preserve">) </w:t>
      </w:r>
      <w:r w:rsidRPr="009C1363">
        <w:rPr>
          <w:rFonts w:ascii="Times New Roman" w:eastAsia="Times New Roman" w:hAnsi="Times New Roman" w:cs="Times New Roman"/>
          <w:b/>
          <w:bCs/>
          <w:color w:val="131314"/>
          <w:kern w:val="0"/>
          <w:sz w:val="20"/>
          <w:szCs w:val="20"/>
          <w14:ligatures w14:val="none"/>
        </w:rPr>
        <w:t>9/26</w:t>
      </w:r>
      <w:r w:rsidRPr="009C1363">
        <w:rPr>
          <w:rFonts w:ascii="Times New Roman" w:eastAsia="Times New Roman" w:hAnsi="Times New Roman" w:cs="Times New Roman"/>
          <w:b/>
          <w:bCs/>
          <w:color w:val="131314"/>
          <w:kern w:val="0"/>
          <w:sz w:val="20"/>
          <w:szCs w:val="20"/>
          <w14:ligatures w14:val="none"/>
        </w:rPr>
        <w:t>/25</w:t>
      </w:r>
    </w:p>
    <w:p w14:paraId="54CFA5D1" w14:textId="77777777" w:rsidR="009C1363" w:rsidRPr="009C1363" w:rsidRDefault="009C1363" w:rsidP="009C1363">
      <w:pPr>
        <w:shd w:val="clear" w:color="auto" w:fill="FFFFFF"/>
        <w:spacing w:after="0" w:line="240" w:lineRule="auto"/>
        <w:outlineLvl w:val="1"/>
        <w:rPr>
          <w:rFonts w:ascii="Times New Roman" w:eastAsia="Times New Roman" w:hAnsi="Times New Roman" w:cs="Times New Roman"/>
          <w:b/>
          <w:bCs/>
          <w:kern w:val="0"/>
          <w:sz w:val="20"/>
          <w:szCs w:val="20"/>
          <w14:ligatures w14:val="none"/>
        </w:rPr>
      </w:pPr>
      <w:r w:rsidRPr="009C1363">
        <w:rPr>
          <w:rFonts w:ascii="Times New Roman" w:eastAsia="Times New Roman" w:hAnsi="Times New Roman" w:cs="Times New Roman"/>
          <w:b/>
          <w:bCs/>
          <w:color w:val="FF2F92"/>
          <w:kern w:val="0"/>
          <w:sz w:val="20"/>
          <w:szCs w:val="20"/>
          <w14:ligatures w14:val="none"/>
        </w:rPr>
        <w:t>ciT1zen science</w:t>
      </w:r>
    </w:p>
    <w:p w14:paraId="57D1652E" w14:textId="77777777" w:rsidR="003653C9" w:rsidRPr="009C1363" w:rsidRDefault="003653C9">
      <w:pPr>
        <w:rPr>
          <w:rFonts w:ascii="Times New Roman" w:hAnsi="Times New Roman" w:cs="Times New Roman"/>
          <w:sz w:val="20"/>
          <w:szCs w:val="20"/>
        </w:rPr>
      </w:pPr>
    </w:p>
    <w:p w14:paraId="7C28E80B" w14:textId="77777777" w:rsidR="009C1363" w:rsidRPr="009C1363" w:rsidRDefault="009C1363" w:rsidP="009C1363">
      <w:pPr>
        <w:spacing w:after="0" w:line="240" w:lineRule="auto"/>
        <w:rPr>
          <w:rFonts w:ascii="Times New Roman" w:eastAsia="Times New Roman" w:hAnsi="Times New Roman" w:cs="Times New Roman"/>
          <w:color w:val="1F1F1F"/>
          <w:kern w:val="0"/>
          <w:sz w:val="20"/>
          <w:szCs w:val="20"/>
          <w14:ligatures w14:val="none"/>
        </w:rPr>
      </w:pPr>
      <w:r w:rsidRPr="009C1363">
        <w:rPr>
          <w:rFonts w:ascii="Times New Roman" w:eastAsia="Times New Roman" w:hAnsi="Times New Roman" w:cs="Times New Roman"/>
          <w:color w:val="1F1F1F"/>
          <w:kern w:val="0"/>
          <w:sz w:val="20"/>
          <w:szCs w:val="20"/>
          <w14:ligatures w14:val="none"/>
        </w:rPr>
        <w:t>The MELD-ATG Trial: Key Findings and Implications</w:t>
      </w:r>
    </w:p>
    <w:p w14:paraId="22D825BF" w14:textId="77777777" w:rsidR="009C1363" w:rsidRPr="009C1363" w:rsidRDefault="009C1363" w:rsidP="009C1363">
      <w:pPr>
        <w:spacing w:after="0" w:line="240" w:lineRule="auto"/>
        <w:rPr>
          <w:rFonts w:ascii="Times New Roman" w:eastAsia="Times New Roman" w:hAnsi="Times New Roman" w:cs="Times New Roman"/>
          <w:color w:val="1F1F1F"/>
          <w:kern w:val="0"/>
          <w:sz w:val="20"/>
          <w:szCs w:val="20"/>
          <w14:ligatures w14:val="none"/>
        </w:rPr>
      </w:pPr>
      <w:r w:rsidRPr="009C1363">
        <w:rPr>
          <w:rFonts w:ascii="Times New Roman" w:eastAsia="Times New Roman" w:hAnsi="Times New Roman" w:cs="Times New Roman"/>
          <w:color w:val="1F1F1F"/>
          <w:kern w:val="0"/>
          <w:sz w:val="20"/>
          <w:szCs w:val="20"/>
          <w14:ligatures w14:val="none"/>
        </w:rPr>
        <w:t>Study Details</w:t>
      </w:r>
    </w:p>
    <w:p w14:paraId="592CCD01" w14:textId="77777777" w:rsidR="009C1363" w:rsidRPr="009C1363" w:rsidRDefault="009C1363" w:rsidP="009C1363">
      <w:pPr>
        <w:spacing w:after="0" w:line="240" w:lineRule="auto"/>
        <w:rPr>
          <w:rFonts w:ascii="Times New Roman" w:eastAsia="Times New Roman" w:hAnsi="Times New Roman" w:cs="Times New Roman"/>
          <w:color w:val="1F1F1F"/>
          <w:kern w:val="0"/>
          <w:sz w:val="20"/>
          <w:szCs w:val="20"/>
          <w14:ligatures w14:val="none"/>
        </w:rPr>
      </w:pPr>
      <w:r w:rsidRPr="009C1363">
        <w:rPr>
          <w:rFonts w:ascii="Times New Roman" w:eastAsia="Times New Roman" w:hAnsi="Times New Roman" w:cs="Times New Roman"/>
          <w:color w:val="1F1F1F"/>
          <w:kern w:val="0"/>
          <w:sz w:val="20"/>
          <w:szCs w:val="20"/>
          <w14:ligatures w14:val="none"/>
        </w:rPr>
        <w:t>• </w:t>
      </w:r>
      <w:r w:rsidRPr="009C1363">
        <w:rPr>
          <w:rFonts w:ascii="Times New Roman" w:eastAsia="Times New Roman" w:hAnsi="Times New Roman" w:cs="Times New Roman"/>
          <w:b/>
          <w:bCs/>
          <w:color w:val="1F1F1F"/>
          <w:kern w:val="0"/>
          <w:sz w:val="20"/>
          <w:szCs w:val="20"/>
          <w14:ligatures w14:val="none"/>
        </w:rPr>
        <w:t>Trial Name:</w:t>
      </w:r>
      <w:r w:rsidRPr="009C1363">
        <w:rPr>
          <w:rFonts w:ascii="Times New Roman" w:eastAsia="Times New Roman" w:hAnsi="Times New Roman" w:cs="Times New Roman"/>
          <w:color w:val="1F1F1F"/>
          <w:kern w:val="0"/>
          <w:sz w:val="20"/>
          <w:szCs w:val="20"/>
          <w14:ligatures w14:val="none"/>
        </w:rPr>
        <w:t> Minimum Effective Low Dose: Anti-human Thymocyte Globulin (MELD-ATG)</w:t>
      </w:r>
    </w:p>
    <w:p w14:paraId="26C1772E" w14:textId="77777777" w:rsidR="009C1363" w:rsidRPr="009C1363" w:rsidRDefault="009C1363" w:rsidP="009C1363">
      <w:pPr>
        <w:spacing w:after="0" w:line="240" w:lineRule="auto"/>
        <w:rPr>
          <w:rFonts w:ascii="Times New Roman" w:eastAsia="Times New Roman" w:hAnsi="Times New Roman" w:cs="Times New Roman"/>
          <w:color w:val="1F1F1F"/>
          <w:kern w:val="0"/>
          <w:sz w:val="20"/>
          <w:szCs w:val="20"/>
          <w14:ligatures w14:val="none"/>
        </w:rPr>
      </w:pPr>
      <w:r w:rsidRPr="009C1363">
        <w:rPr>
          <w:rFonts w:ascii="Times New Roman" w:eastAsia="Times New Roman" w:hAnsi="Times New Roman" w:cs="Times New Roman"/>
          <w:color w:val="1F1F1F"/>
          <w:kern w:val="0"/>
          <w:sz w:val="20"/>
          <w:szCs w:val="20"/>
          <w14:ligatures w14:val="none"/>
        </w:rPr>
        <w:t>• </w:t>
      </w:r>
      <w:r w:rsidRPr="009C1363">
        <w:rPr>
          <w:rFonts w:ascii="Times New Roman" w:eastAsia="Times New Roman" w:hAnsi="Times New Roman" w:cs="Times New Roman"/>
          <w:b/>
          <w:bCs/>
          <w:color w:val="1F1F1F"/>
          <w:kern w:val="0"/>
          <w:sz w:val="20"/>
          <w:szCs w:val="20"/>
          <w14:ligatures w14:val="none"/>
        </w:rPr>
        <w:t>Registration:</w:t>
      </w:r>
      <w:r w:rsidRPr="009C1363">
        <w:rPr>
          <w:rFonts w:ascii="Times New Roman" w:eastAsia="Times New Roman" w:hAnsi="Times New Roman" w:cs="Times New Roman"/>
          <w:color w:val="1F1F1F"/>
          <w:kern w:val="0"/>
          <w:sz w:val="20"/>
          <w:szCs w:val="20"/>
          <w14:ligatures w14:val="none"/>
        </w:rPr>
        <w:t> ClinicalTrials.gov (NCT04509791)</w:t>
      </w:r>
    </w:p>
    <w:p w14:paraId="6705F50D" w14:textId="77777777" w:rsidR="009C1363" w:rsidRPr="009C1363" w:rsidRDefault="009C1363" w:rsidP="009C1363">
      <w:pPr>
        <w:spacing w:after="0" w:line="240" w:lineRule="auto"/>
        <w:rPr>
          <w:rFonts w:ascii="Times New Roman" w:eastAsia="Times New Roman" w:hAnsi="Times New Roman" w:cs="Times New Roman"/>
          <w:color w:val="1F1F1F"/>
          <w:kern w:val="0"/>
          <w:sz w:val="20"/>
          <w:szCs w:val="20"/>
          <w14:ligatures w14:val="none"/>
        </w:rPr>
      </w:pPr>
      <w:r w:rsidRPr="009C1363">
        <w:rPr>
          <w:rFonts w:ascii="Times New Roman" w:eastAsia="Times New Roman" w:hAnsi="Times New Roman" w:cs="Times New Roman"/>
          <w:color w:val="1F1F1F"/>
          <w:kern w:val="0"/>
          <w:sz w:val="20"/>
          <w:szCs w:val="20"/>
          <w14:ligatures w14:val="none"/>
        </w:rPr>
        <w:t>• </w:t>
      </w:r>
      <w:r w:rsidRPr="009C1363">
        <w:rPr>
          <w:rFonts w:ascii="Times New Roman" w:eastAsia="Times New Roman" w:hAnsi="Times New Roman" w:cs="Times New Roman"/>
          <w:b/>
          <w:bCs/>
          <w:color w:val="1F1F1F"/>
          <w:kern w:val="0"/>
          <w:sz w:val="20"/>
          <w:szCs w:val="20"/>
          <w14:ligatures w14:val="none"/>
        </w:rPr>
        <w:t>Publication:</w:t>
      </w:r>
      <w:r w:rsidRPr="009C1363">
        <w:rPr>
          <w:rFonts w:ascii="Times New Roman" w:eastAsia="Times New Roman" w:hAnsi="Times New Roman" w:cs="Times New Roman"/>
          <w:color w:val="1F1F1F"/>
          <w:kern w:val="0"/>
          <w:sz w:val="20"/>
          <w:szCs w:val="20"/>
          <w14:ligatures w14:val="none"/>
        </w:rPr>
        <w:t> </w:t>
      </w:r>
      <w:r w:rsidRPr="009C1363">
        <w:rPr>
          <w:rFonts w:ascii="Times New Roman" w:eastAsia="Times New Roman" w:hAnsi="Times New Roman" w:cs="Times New Roman"/>
          <w:i/>
          <w:iCs/>
          <w:color w:val="1F1F1F"/>
          <w:kern w:val="0"/>
          <w:sz w:val="20"/>
          <w:szCs w:val="20"/>
          <w14:ligatures w14:val="none"/>
        </w:rPr>
        <w:t>Published Online September 18, 2025, https://doi.org/10.1016/ S0140-6736(25)01674-5</w:t>
      </w:r>
    </w:p>
    <w:p w14:paraId="6A96EFA7" w14:textId="77777777" w:rsidR="009C1363" w:rsidRPr="009C1363" w:rsidRDefault="009C1363" w:rsidP="009C1363">
      <w:pPr>
        <w:spacing w:after="0" w:line="240" w:lineRule="auto"/>
        <w:rPr>
          <w:rFonts w:ascii="Times New Roman" w:eastAsia="Times New Roman" w:hAnsi="Times New Roman" w:cs="Times New Roman"/>
          <w:color w:val="1F1F1F"/>
          <w:kern w:val="0"/>
          <w:sz w:val="20"/>
          <w:szCs w:val="20"/>
          <w14:ligatures w14:val="none"/>
        </w:rPr>
      </w:pPr>
      <w:r w:rsidRPr="009C1363">
        <w:rPr>
          <w:rFonts w:ascii="Times New Roman" w:eastAsia="Times New Roman" w:hAnsi="Times New Roman" w:cs="Times New Roman"/>
          <w:color w:val="1F1F1F"/>
          <w:kern w:val="0"/>
          <w:sz w:val="20"/>
          <w:szCs w:val="20"/>
          <w14:ligatures w14:val="none"/>
        </w:rPr>
        <w:t>• </w:t>
      </w:r>
      <w:r w:rsidRPr="009C1363">
        <w:rPr>
          <w:rFonts w:ascii="Times New Roman" w:eastAsia="Times New Roman" w:hAnsi="Times New Roman" w:cs="Times New Roman"/>
          <w:b/>
          <w:bCs/>
          <w:color w:val="1F1F1F"/>
          <w:kern w:val="0"/>
          <w:sz w:val="20"/>
          <w:szCs w:val="20"/>
          <w14:ligatures w14:val="none"/>
        </w:rPr>
        <w:t>Funding:</w:t>
      </w:r>
      <w:r w:rsidRPr="009C1363">
        <w:rPr>
          <w:rFonts w:ascii="Times New Roman" w:eastAsia="Times New Roman" w:hAnsi="Times New Roman" w:cs="Times New Roman"/>
          <w:color w:val="1F1F1F"/>
          <w:kern w:val="0"/>
          <w:sz w:val="20"/>
          <w:szCs w:val="20"/>
          <w14:ligatures w14:val="none"/>
        </w:rPr>
        <w:t> The European Union’s Innovative Medicines Initiative 2 Joint Undertaking INNODIA.</w:t>
      </w:r>
    </w:p>
    <w:p w14:paraId="21A0E0FC" w14:textId="77777777" w:rsidR="009C1363" w:rsidRDefault="009C1363" w:rsidP="009C1363">
      <w:pPr>
        <w:spacing w:after="0" w:line="240" w:lineRule="auto"/>
        <w:rPr>
          <w:rFonts w:ascii="Times New Roman" w:eastAsia="Times New Roman" w:hAnsi="Times New Roman" w:cs="Times New Roman"/>
          <w:color w:val="1F1F1F"/>
          <w:kern w:val="0"/>
          <w:sz w:val="20"/>
          <w:szCs w:val="20"/>
          <w14:ligatures w14:val="none"/>
        </w:rPr>
      </w:pPr>
    </w:p>
    <w:p w14:paraId="4BF576B7" w14:textId="77777777" w:rsidR="009C1363" w:rsidRDefault="009C1363" w:rsidP="009C1363">
      <w:pPr>
        <w:spacing w:after="0" w:line="240" w:lineRule="auto"/>
        <w:rPr>
          <w:rFonts w:ascii="Times New Roman" w:eastAsia="Times New Roman" w:hAnsi="Times New Roman" w:cs="Times New Roman"/>
          <w:color w:val="1F1F1F"/>
          <w:kern w:val="0"/>
          <w:sz w:val="20"/>
          <w:szCs w:val="20"/>
          <w14:ligatures w14:val="none"/>
        </w:rPr>
      </w:pPr>
    </w:p>
    <w:p w14:paraId="61FB3D16" w14:textId="33E3F9DE" w:rsidR="009C1363" w:rsidRPr="009C1363" w:rsidRDefault="009C1363" w:rsidP="009C1363">
      <w:pPr>
        <w:spacing w:after="0" w:line="240" w:lineRule="auto"/>
        <w:rPr>
          <w:rFonts w:ascii="Times New Roman" w:eastAsia="Times New Roman" w:hAnsi="Times New Roman" w:cs="Times New Roman"/>
          <w:color w:val="1F1F1F"/>
          <w:kern w:val="0"/>
          <w:sz w:val="20"/>
          <w:szCs w:val="20"/>
          <w14:ligatures w14:val="none"/>
        </w:rPr>
      </w:pPr>
      <w:r w:rsidRPr="009C1363">
        <w:rPr>
          <w:rFonts w:ascii="Times New Roman" w:eastAsia="Times New Roman" w:hAnsi="Times New Roman" w:cs="Times New Roman"/>
          <w:color w:val="1F1F1F"/>
          <w:kern w:val="0"/>
          <w:sz w:val="20"/>
          <w:szCs w:val="20"/>
          <w14:ligatures w14:val="none"/>
        </w:rPr>
        <w:t xml:space="preserve">The MELD-ATG trial was a phase 2, adaptive dose-ranging study that successfully identified a minimum effective dose of </w:t>
      </w:r>
      <w:proofErr w:type="spellStart"/>
      <w:r w:rsidRPr="009C1363">
        <w:rPr>
          <w:rFonts w:ascii="Times New Roman" w:eastAsia="Times New Roman" w:hAnsi="Times New Roman" w:cs="Times New Roman"/>
          <w:color w:val="1F1F1F"/>
          <w:kern w:val="0"/>
          <w:sz w:val="20"/>
          <w:szCs w:val="20"/>
          <w14:ligatures w14:val="none"/>
        </w:rPr>
        <w:t>antithymocyte</w:t>
      </w:r>
      <w:proofErr w:type="spellEnd"/>
      <w:r w:rsidRPr="009C1363">
        <w:rPr>
          <w:rFonts w:ascii="Times New Roman" w:eastAsia="Times New Roman" w:hAnsi="Times New Roman" w:cs="Times New Roman"/>
          <w:color w:val="1F1F1F"/>
          <w:kern w:val="0"/>
          <w:sz w:val="20"/>
          <w:szCs w:val="20"/>
          <w14:ligatures w14:val="none"/>
        </w:rPr>
        <w:t xml:space="preserve"> globulin (ATG) for preserving β-cell function in young people (aged 5-25) with recent-onset, stage 3 type 1 diabetes. The study confirmed the efficacy of a 2.5 mg/kg dose of ATG and, critically, established that a lower dose of 0.5 mg/kg is also effective, achieving the primary endpoint of reducing C-peptide loss at 12 months. This lower 0.5 mg/kg dose demonstrated a superior safety profile, with significantly lower rates of key side effects like serum sickness (32% vs. 82%) and a slightly lower incidence of cytokine release syndrome (24% vs. 33%) compared to the 2.5 mg/kg dose. The trial's innovative adaptive design proved highly efficient for testing multiple doses across a wide age range, accelerating the identification of an optimal therapeutic window. The findings present low-dose ATG as a promising, affordable, repurposed disease-modifying agent and underscore the importance of testing such interventions directly in younger populations where they may be most effective.</w:t>
      </w:r>
    </w:p>
    <w:p w14:paraId="7E6353FF" w14:textId="77777777" w:rsidR="009C1363" w:rsidRPr="009C1363" w:rsidRDefault="009C1363" w:rsidP="009C1363">
      <w:pPr>
        <w:spacing w:after="0" w:line="240" w:lineRule="auto"/>
        <w:rPr>
          <w:rFonts w:ascii="Times New Roman" w:eastAsia="Times New Roman" w:hAnsi="Times New Roman" w:cs="Times New Roman"/>
          <w:color w:val="1F1F1F"/>
          <w:kern w:val="0"/>
          <w:sz w:val="20"/>
          <w:szCs w:val="20"/>
          <w14:ligatures w14:val="none"/>
        </w:rPr>
      </w:pPr>
      <w:r w:rsidRPr="009C1363">
        <w:rPr>
          <w:rFonts w:ascii="Times New Roman" w:eastAsia="Times New Roman" w:hAnsi="Times New Roman" w:cs="Times New Roman"/>
          <w:color w:val="1F1F1F"/>
          <w:kern w:val="0"/>
          <w:sz w:val="20"/>
          <w:szCs w:val="20"/>
          <w14:ligatures w14:val="none"/>
        </w:rPr>
        <w:t>--------------------------------------------------------------------------------</w:t>
      </w:r>
    </w:p>
    <w:p w14:paraId="439A6A21" w14:textId="77777777" w:rsidR="009C1363" w:rsidRPr="009C1363" w:rsidRDefault="009C1363" w:rsidP="009C1363">
      <w:pPr>
        <w:spacing w:after="0" w:line="240" w:lineRule="auto"/>
        <w:rPr>
          <w:rFonts w:ascii="Times New Roman" w:eastAsia="Times New Roman" w:hAnsi="Times New Roman" w:cs="Times New Roman"/>
          <w:color w:val="1F1F1F"/>
          <w:kern w:val="0"/>
          <w:sz w:val="20"/>
          <w:szCs w:val="20"/>
          <w14:ligatures w14:val="none"/>
        </w:rPr>
      </w:pPr>
      <w:r w:rsidRPr="009C1363">
        <w:rPr>
          <w:rFonts w:ascii="Times New Roman" w:eastAsia="Times New Roman" w:hAnsi="Times New Roman" w:cs="Times New Roman"/>
          <w:color w:val="1F1F1F"/>
          <w:kern w:val="0"/>
          <w:sz w:val="20"/>
          <w:szCs w:val="20"/>
          <w14:ligatures w14:val="none"/>
        </w:rPr>
        <w:t>1. Introduction and Study Rationale</w:t>
      </w:r>
    </w:p>
    <w:p w14:paraId="15E63DA5" w14:textId="77777777" w:rsidR="009C1363" w:rsidRPr="009C1363" w:rsidRDefault="009C1363" w:rsidP="009C1363">
      <w:pPr>
        <w:spacing w:after="0" w:line="240" w:lineRule="auto"/>
        <w:rPr>
          <w:rFonts w:ascii="Times New Roman" w:eastAsia="Times New Roman" w:hAnsi="Times New Roman" w:cs="Times New Roman"/>
          <w:color w:val="1F1F1F"/>
          <w:kern w:val="0"/>
          <w:sz w:val="20"/>
          <w:szCs w:val="20"/>
          <w14:ligatures w14:val="none"/>
        </w:rPr>
      </w:pPr>
      <w:r w:rsidRPr="009C1363">
        <w:rPr>
          <w:rFonts w:ascii="Times New Roman" w:eastAsia="Times New Roman" w:hAnsi="Times New Roman" w:cs="Times New Roman"/>
          <w:color w:val="1F1F1F"/>
          <w:kern w:val="0"/>
          <w:sz w:val="20"/>
          <w:szCs w:val="20"/>
          <w14:ligatures w14:val="none"/>
        </w:rPr>
        <w:t>Type 1 diabetes is a chronic autoimmune disease affecting approximately 9.5 million people globally, with incidence rates in children and adolescents increasing by over 2% annually for the past two decades. Despite growing insights into its pathogenesis, no disease-modifying therapies are currently available for individuals with recent-onset, clinical (stage 3) type 1 diabetes.</w:t>
      </w:r>
    </w:p>
    <w:p w14:paraId="3CD7AB9F" w14:textId="77777777" w:rsidR="009C1363" w:rsidRPr="009C1363" w:rsidRDefault="009C1363" w:rsidP="009C1363">
      <w:pPr>
        <w:spacing w:after="0" w:line="240" w:lineRule="auto"/>
        <w:rPr>
          <w:rFonts w:ascii="Times New Roman" w:eastAsia="Times New Roman" w:hAnsi="Times New Roman" w:cs="Times New Roman"/>
          <w:color w:val="1F1F1F"/>
          <w:kern w:val="0"/>
          <w:sz w:val="20"/>
          <w:szCs w:val="20"/>
          <w14:ligatures w14:val="none"/>
        </w:rPr>
      </w:pPr>
      <w:r w:rsidRPr="009C1363">
        <w:rPr>
          <w:rFonts w:ascii="Times New Roman" w:eastAsia="Times New Roman" w:hAnsi="Times New Roman" w:cs="Times New Roman"/>
          <w:color w:val="1F1F1F"/>
          <w:kern w:val="0"/>
          <w:sz w:val="20"/>
          <w:szCs w:val="20"/>
          <w14:ligatures w14:val="none"/>
        </w:rPr>
        <w:t>The development of such therapies has been slow, hampered by sequential drug testing against placebo and reliance on dosing schedules derived from other medical fields like transplantation. This process is particularly challenging for pediatric populations, as most trials have excluded children under 8 years due to safety concerns, despite evidence that the disease is most aggressive in the young and that immunotherapies may be more effective in this group.</w:t>
      </w:r>
    </w:p>
    <w:p w14:paraId="38DFD3F2" w14:textId="77777777" w:rsidR="009C1363" w:rsidRPr="009C1363" w:rsidRDefault="009C1363" w:rsidP="009C1363">
      <w:pPr>
        <w:spacing w:after="0" w:line="240" w:lineRule="auto"/>
        <w:rPr>
          <w:rFonts w:ascii="Times New Roman" w:eastAsia="Times New Roman" w:hAnsi="Times New Roman" w:cs="Times New Roman"/>
          <w:color w:val="1F1F1F"/>
          <w:kern w:val="0"/>
          <w:sz w:val="20"/>
          <w:szCs w:val="20"/>
          <w14:ligatures w14:val="none"/>
        </w:rPr>
      </w:pPr>
      <w:proofErr w:type="spellStart"/>
      <w:r w:rsidRPr="009C1363">
        <w:rPr>
          <w:rFonts w:ascii="Times New Roman" w:eastAsia="Times New Roman" w:hAnsi="Times New Roman" w:cs="Times New Roman"/>
          <w:color w:val="1F1F1F"/>
          <w:kern w:val="0"/>
          <w:sz w:val="20"/>
          <w:szCs w:val="20"/>
          <w14:ligatures w14:val="none"/>
        </w:rPr>
        <w:t>Antithymocyte</w:t>
      </w:r>
      <w:proofErr w:type="spellEnd"/>
      <w:r w:rsidRPr="009C1363">
        <w:rPr>
          <w:rFonts w:ascii="Times New Roman" w:eastAsia="Times New Roman" w:hAnsi="Times New Roman" w:cs="Times New Roman"/>
          <w:color w:val="1F1F1F"/>
          <w:kern w:val="0"/>
          <w:sz w:val="20"/>
          <w:szCs w:val="20"/>
          <w14:ligatures w14:val="none"/>
        </w:rPr>
        <w:t xml:space="preserve"> globulin (ATG), a polyclonal antibody, has shown promise in delaying β-cell destruction. Previous studies demonstrated that a low dose of 2.5 mg/kg was effective, whereas a higher dose of 6.5 mg/kg accelerated C-peptide loss. However, further dose-finding studies, particularly with lower doses or in younger children, had not been conducted.</w:t>
      </w:r>
    </w:p>
    <w:p w14:paraId="7DD2B4F1" w14:textId="77777777" w:rsidR="009C1363" w:rsidRPr="009C1363" w:rsidRDefault="009C1363" w:rsidP="009C1363">
      <w:pPr>
        <w:spacing w:after="0" w:line="240" w:lineRule="auto"/>
        <w:rPr>
          <w:rFonts w:ascii="Times New Roman" w:eastAsia="Times New Roman" w:hAnsi="Times New Roman" w:cs="Times New Roman"/>
          <w:color w:val="1F1F1F"/>
          <w:kern w:val="0"/>
          <w:sz w:val="20"/>
          <w:szCs w:val="20"/>
          <w14:ligatures w14:val="none"/>
        </w:rPr>
      </w:pPr>
      <w:r w:rsidRPr="009C1363">
        <w:rPr>
          <w:rFonts w:ascii="Times New Roman" w:eastAsia="Times New Roman" w:hAnsi="Times New Roman" w:cs="Times New Roman"/>
          <w:color w:val="1F1F1F"/>
          <w:kern w:val="0"/>
          <w:sz w:val="20"/>
          <w:szCs w:val="20"/>
          <w14:ligatures w14:val="none"/>
        </w:rPr>
        <w:t>The MELD-ATG trial was designed to address these gaps. Its primary aim was "to assess the efficacy and safety of a range of low ATG doses in preserving β-cell function 1 year after treatment in people with recent-onset, clinical type 1 diabetes, proceeding rapidly to include children as young as 5 years, using an adaptive trial design."</w:t>
      </w:r>
    </w:p>
    <w:p w14:paraId="17746D13" w14:textId="77777777" w:rsidR="009C1363" w:rsidRPr="009C1363" w:rsidRDefault="009C1363" w:rsidP="009C1363">
      <w:pPr>
        <w:spacing w:after="0" w:line="240" w:lineRule="auto"/>
        <w:rPr>
          <w:rFonts w:ascii="Times New Roman" w:eastAsia="Times New Roman" w:hAnsi="Times New Roman" w:cs="Times New Roman"/>
          <w:color w:val="1F1F1F"/>
          <w:kern w:val="0"/>
          <w:sz w:val="20"/>
          <w:szCs w:val="20"/>
          <w14:ligatures w14:val="none"/>
        </w:rPr>
      </w:pPr>
      <w:r w:rsidRPr="009C1363">
        <w:rPr>
          <w:rFonts w:ascii="Times New Roman" w:eastAsia="Times New Roman" w:hAnsi="Times New Roman" w:cs="Times New Roman"/>
          <w:color w:val="1F1F1F"/>
          <w:kern w:val="0"/>
          <w:sz w:val="20"/>
          <w:szCs w:val="20"/>
          <w14:ligatures w14:val="none"/>
        </w:rPr>
        <w:t>2. Trial Design and Methodology</w:t>
      </w:r>
    </w:p>
    <w:p w14:paraId="68893E8D" w14:textId="77777777" w:rsidR="009C1363" w:rsidRPr="009C1363" w:rsidRDefault="009C1363" w:rsidP="009C1363">
      <w:pPr>
        <w:spacing w:after="0" w:line="240" w:lineRule="auto"/>
        <w:rPr>
          <w:rFonts w:ascii="Times New Roman" w:eastAsia="Times New Roman" w:hAnsi="Times New Roman" w:cs="Times New Roman"/>
          <w:color w:val="1F1F1F"/>
          <w:kern w:val="0"/>
          <w:sz w:val="20"/>
          <w:szCs w:val="20"/>
          <w14:ligatures w14:val="none"/>
        </w:rPr>
      </w:pPr>
      <w:r w:rsidRPr="009C1363">
        <w:rPr>
          <w:rFonts w:ascii="Times New Roman" w:eastAsia="Times New Roman" w:hAnsi="Times New Roman" w:cs="Times New Roman"/>
          <w:color w:val="1F1F1F"/>
          <w:kern w:val="0"/>
          <w:sz w:val="20"/>
          <w:szCs w:val="20"/>
          <w14:ligatures w14:val="none"/>
        </w:rPr>
        <w:t>Study Overview</w:t>
      </w:r>
    </w:p>
    <w:p w14:paraId="7431A074" w14:textId="77777777" w:rsidR="009C1363" w:rsidRPr="009C1363" w:rsidRDefault="009C1363" w:rsidP="009C1363">
      <w:pPr>
        <w:spacing w:after="0" w:line="240" w:lineRule="auto"/>
        <w:rPr>
          <w:rFonts w:ascii="Times New Roman" w:eastAsia="Times New Roman" w:hAnsi="Times New Roman" w:cs="Times New Roman"/>
          <w:color w:val="1F1F1F"/>
          <w:kern w:val="0"/>
          <w:sz w:val="20"/>
          <w:szCs w:val="20"/>
          <w14:ligatures w14:val="none"/>
        </w:rPr>
      </w:pPr>
      <w:r w:rsidRPr="009C1363">
        <w:rPr>
          <w:rFonts w:ascii="Times New Roman" w:eastAsia="Times New Roman" w:hAnsi="Times New Roman" w:cs="Times New Roman"/>
          <w:color w:val="1F1F1F"/>
          <w:kern w:val="0"/>
          <w:sz w:val="20"/>
          <w:szCs w:val="20"/>
          <w14:ligatures w14:val="none"/>
        </w:rPr>
        <w:t xml:space="preserve">The MELD-ATG trial was a phase 2, </w:t>
      </w:r>
      <w:proofErr w:type="spellStart"/>
      <w:r w:rsidRPr="009C1363">
        <w:rPr>
          <w:rFonts w:ascii="Times New Roman" w:eastAsia="Times New Roman" w:hAnsi="Times New Roman" w:cs="Times New Roman"/>
          <w:color w:val="1F1F1F"/>
          <w:kern w:val="0"/>
          <w:sz w:val="20"/>
          <w:szCs w:val="20"/>
          <w14:ligatures w14:val="none"/>
        </w:rPr>
        <w:t>multicentre</w:t>
      </w:r>
      <w:proofErr w:type="spellEnd"/>
      <w:r w:rsidRPr="009C1363">
        <w:rPr>
          <w:rFonts w:ascii="Times New Roman" w:eastAsia="Times New Roman" w:hAnsi="Times New Roman" w:cs="Times New Roman"/>
          <w:color w:val="1F1F1F"/>
          <w:kern w:val="0"/>
          <w:sz w:val="20"/>
          <w:szCs w:val="20"/>
          <w14:ligatures w14:val="none"/>
        </w:rPr>
        <w:t xml:space="preserve">, double-blind, </w:t>
      </w:r>
      <w:proofErr w:type="spellStart"/>
      <w:r w:rsidRPr="009C1363">
        <w:rPr>
          <w:rFonts w:ascii="Times New Roman" w:eastAsia="Times New Roman" w:hAnsi="Times New Roman" w:cs="Times New Roman"/>
          <w:color w:val="1F1F1F"/>
          <w:kern w:val="0"/>
          <w:sz w:val="20"/>
          <w:szCs w:val="20"/>
          <w14:ligatures w14:val="none"/>
        </w:rPr>
        <w:t>randomised</w:t>
      </w:r>
      <w:proofErr w:type="spellEnd"/>
      <w:r w:rsidRPr="009C1363">
        <w:rPr>
          <w:rFonts w:ascii="Times New Roman" w:eastAsia="Times New Roman" w:hAnsi="Times New Roman" w:cs="Times New Roman"/>
          <w:color w:val="1F1F1F"/>
          <w:kern w:val="0"/>
          <w:sz w:val="20"/>
          <w:szCs w:val="20"/>
          <w14:ligatures w14:val="none"/>
        </w:rPr>
        <w:t>, placebo-controlled, multi-arm, adaptive dose-ranging, parallel-cohort trial. It was conducted at 14 accredited trial centers across eight European countries.</w:t>
      </w:r>
    </w:p>
    <w:p w14:paraId="2EE57E4C" w14:textId="77777777" w:rsidR="009C1363" w:rsidRPr="009C1363" w:rsidRDefault="009C1363" w:rsidP="009C1363">
      <w:pPr>
        <w:spacing w:after="0" w:line="240" w:lineRule="auto"/>
        <w:rPr>
          <w:rFonts w:ascii="Times New Roman" w:eastAsia="Times New Roman" w:hAnsi="Times New Roman" w:cs="Times New Roman"/>
          <w:color w:val="1F1F1F"/>
          <w:kern w:val="0"/>
          <w:sz w:val="20"/>
          <w:szCs w:val="20"/>
          <w14:ligatures w14:val="none"/>
        </w:rPr>
      </w:pPr>
      <w:r w:rsidRPr="009C1363">
        <w:rPr>
          <w:rFonts w:ascii="Times New Roman" w:eastAsia="Times New Roman" w:hAnsi="Times New Roman" w:cs="Times New Roman"/>
          <w:color w:val="1F1F1F"/>
          <w:kern w:val="0"/>
          <w:sz w:val="20"/>
          <w:szCs w:val="20"/>
          <w14:ligatures w14:val="none"/>
        </w:rPr>
        <w:t>• </w:t>
      </w:r>
      <w:r w:rsidRPr="009C1363">
        <w:rPr>
          <w:rFonts w:ascii="Times New Roman" w:eastAsia="Times New Roman" w:hAnsi="Times New Roman" w:cs="Times New Roman"/>
          <w:b/>
          <w:bCs/>
          <w:color w:val="1F1F1F"/>
          <w:kern w:val="0"/>
          <w:sz w:val="20"/>
          <w:szCs w:val="20"/>
          <w14:ligatures w14:val="none"/>
        </w:rPr>
        <w:t>Trial Period:</w:t>
      </w:r>
      <w:r w:rsidRPr="009C1363">
        <w:rPr>
          <w:rFonts w:ascii="Times New Roman" w:eastAsia="Times New Roman" w:hAnsi="Times New Roman" w:cs="Times New Roman"/>
          <w:color w:val="1F1F1F"/>
          <w:kern w:val="0"/>
          <w:sz w:val="20"/>
          <w:szCs w:val="20"/>
          <w14:ligatures w14:val="none"/>
        </w:rPr>
        <w:t> Recruitment and screening occurred between November 24, 2020, and December 13, 2023.</w:t>
      </w:r>
    </w:p>
    <w:p w14:paraId="352B02B3" w14:textId="77777777" w:rsidR="009C1363" w:rsidRPr="009C1363" w:rsidRDefault="009C1363" w:rsidP="009C1363">
      <w:pPr>
        <w:spacing w:after="0" w:line="240" w:lineRule="auto"/>
        <w:rPr>
          <w:rFonts w:ascii="Times New Roman" w:eastAsia="Times New Roman" w:hAnsi="Times New Roman" w:cs="Times New Roman"/>
          <w:color w:val="1F1F1F"/>
          <w:kern w:val="0"/>
          <w:sz w:val="20"/>
          <w:szCs w:val="20"/>
          <w14:ligatures w14:val="none"/>
        </w:rPr>
      </w:pPr>
      <w:r w:rsidRPr="009C1363">
        <w:rPr>
          <w:rFonts w:ascii="Times New Roman" w:eastAsia="Times New Roman" w:hAnsi="Times New Roman" w:cs="Times New Roman"/>
          <w:color w:val="1F1F1F"/>
          <w:kern w:val="0"/>
          <w:sz w:val="20"/>
          <w:szCs w:val="20"/>
          <w14:ligatures w14:val="none"/>
        </w:rPr>
        <w:t>• </w:t>
      </w:r>
      <w:r w:rsidRPr="009C1363">
        <w:rPr>
          <w:rFonts w:ascii="Times New Roman" w:eastAsia="Times New Roman" w:hAnsi="Times New Roman" w:cs="Times New Roman"/>
          <w:b/>
          <w:bCs/>
          <w:color w:val="1F1F1F"/>
          <w:kern w:val="0"/>
          <w:sz w:val="20"/>
          <w:szCs w:val="20"/>
          <w14:ligatures w14:val="none"/>
        </w:rPr>
        <w:t>Participants:</w:t>
      </w:r>
      <w:r w:rsidRPr="009C1363">
        <w:rPr>
          <w:rFonts w:ascii="Times New Roman" w:eastAsia="Times New Roman" w:hAnsi="Times New Roman" w:cs="Times New Roman"/>
          <w:color w:val="1F1F1F"/>
          <w:kern w:val="0"/>
          <w:sz w:val="20"/>
          <w:szCs w:val="20"/>
          <w14:ligatures w14:val="none"/>
        </w:rPr>
        <w:t> 117 individuals were randomly assigned to treatment arms.</w:t>
      </w:r>
    </w:p>
    <w:p w14:paraId="4E1365BE" w14:textId="77777777" w:rsidR="009C1363" w:rsidRPr="009C1363" w:rsidRDefault="009C1363" w:rsidP="009C1363">
      <w:pPr>
        <w:spacing w:after="0" w:line="240" w:lineRule="auto"/>
        <w:rPr>
          <w:rFonts w:ascii="Times New Roman" w:eastAsia="Times New Roman" w:hAnsi="Times New Roman" w:cs="Times New Roman"/>
          <w:color w:val="1F1F1F"/>
          <w:kern w:val="0"/>
          <w:sz w:val="20"/>
          <w:szCs w:val="20"/>
          <w14:ligatures w14:val="none"/>
        </w:rPr>
      </w:pPr>
      <w:r w:rsidRPr="009C1363">
        <w:rPr>
          <w:rFonts w:ascii="Times New Roman" w:eastAsia="Times New Roman" w:hAnsi="Times New Roman" w:cs="Times New Roman"/>
          <w:color w:val="1F1F1F"/>
          <w:kern w:val="0"/>
          <w:sz w:val="20"/>
          <w:szCs w:val="20"/>
          <w14:ligatures w14:val="none"/>
        </w:rPr>
        <w:t>Participant Profile</w:t>
      </w:r>
    </w:p>
    <w:p w14:paraId="59330642" w14:textId="77777777" w:rsidR="009C1363" w:rsidRPr="009C1363" w:rsidRDefault="009C1363" w:rsidP="009C1363">
      <w:pPr>
        <w:spacing w:after="0" w:line="240" w:lineRule="auto"/>
        <w:rPr>
          <w:rFonts w:ascii="Times New Roman" w:eastAsia="Times New Roman" w:hAnsi="Times New Roman" w:cs="Times New Roman"/>
          <w:color w:val="1F1F1F"/>
          <w:kern w:val="0"/>
          <w:sz w:val="20"/>
          <w:szCs w:val="20"/>
          <w14:ligatures w14:val="none"/>
        </w:rPr>
      </w:pPr>
      <w:r w:rsidRPr="009C1363">
        <w:rPr>
          <w:rFonts w:ascii="Times New Roman" w:eastAsia="Times New Roman" w:hAnsi="Times New Roman" w:cs="Times New Roman"/>
          <w:color w:val="1F1F1F"/>
          <w:kern w:val="0"/>
          <w:sz w:val="20"/>
          <w:szCs w:val="20"/>
          <w14:ligatures w14:val="none"/>
        </w:rPr>
        <w:t>• </w:t>
      </w:r>
      <w:r w:rsidRPr="009C1363">
        <w:rPr>
          <w:rFonts w:ascii="Times New Roman" w:eastAsia="Times New Roman" w:hAnsi="Times New Roman" w:cs="Times New Roman"/>
          <w:b/>
          <w:bCs/>
          <w:color w:val="1F1F1F"/>
          <w:kern w:val="0"/>
          <w:sz w:val="20"/>
          <w:szCs w:val="20"/>
          <w14:ligatures w14:val="none"/>
        </w:rPr>
        <w:t>Age:</w:t>
      </w:r>
      <w:r w:rsidRPr="009C1363">
        <w:rPr>
          <w:rFonts w:ascii="Times New Roman" w:eastAsia="Times New Roman" w:hAnsi="Times New Roman" w:cs="Times New Roman"/>
          <w:color w:val="1F1F1F"/>
          <w:kern w:val="0"/>
          <w:sz w:val="20"/>
          <w:szCs w:val="20"/>
          <w14:ligatures w14:val="none"/>
        </w:rPr>
        <w:t> 5–25 years at consent.</w:t>
      </w:r>
    </w:p>
    <w:p w14:paraId="158402D2" w14:textId="77777777" w:rsidR="009C1363" w:rsidRPr="009C1363" w:rsidRDefault="009C1363" w:rsidP="009C1363">
      <w:pPr>
        <w:spacing w:after="0" w:line="240" w:lineRule="auto"/>
        <w:rPr>
          <w:rFonts w:ascii="Times New Roman" w:eastAsia="Times New Roman" w:hAnsi="Times New Roman" w:cs="Times New Roman"/>
          <w:color w:val="1F1F1F"/>
          <w:kern w:val="0"/>
          <w:sz w:val="20"/>
          <w:szCs w:val="20"/>
          <w14:ligatures w14:val="none"/>
        </w:rPr>
      </w:pPr>
      <w:r w:rsidRPr="009C1363">
        <w:rPr>
          <w:rFonts w:ascii="Times New Roman" w:eastAsia="Times New Roman" w:hAnsi="Times New Roman" w:cs="Times New Roman"/>
          <w:color w:val="1F1F1F"/>
          <w:kern w:val="0"/>
          <w:sz w:val="20"/>
          <w:szCs w:val="20"/>
          <w14:ligatures w14:val="none"/>
        </w:rPr>
        <w:t>• </w:t>
      </w:r>
      <w:r w:rsidRPr="009C1363">
        <w:rPr>
          <w:rFonts w:ascii="Times New Roman" w:eastAsia="Times New Roman" w:hAnsi="Times New Roman" w:cs="Times New Roman"/>
          <w:b/>
          <w:bCs/>
          <w:color w:val="1F1F1F"/>
          <w:kern w:val="0"/>
          <w:sz w:val="20"/>
          <w:szCs w:val="20"/>
          <w14:ligatures w14:val="none"/>
        </w:rPr>
        <w:t>Diagnosis:</w:t>
      </w:r>
      <w:r w:rsidRPr="009C1363">
        <w:rPr>
          <w:rFonts w:ascii="Times New Roman" w:eastAsia="Times New Roman" w:hAnsi="Times New Roman" w:cs="Times New Roman"/>
          <w:color w:val="1F1F1F"/>
          <w:kern w:val="0"/>
          <w:sz w:val="20"/>
          <w:szCs w:val="20"/>
          <w14:ligatures w14:val="none"/>
        </w:rPr>
        <w:t> Clinical, stage 3 type 1 diabetes diagnosed 3–9 weeks before treatment.</w:t>
      </w:r>
    </w:p>
    <w:p w14:paraId="046CFAE6" w14:textId="77777777" w:rsidR="009C1363" w:rsidRPr="009C1363" w:rsidRDefault="009C1363" w:rsidP="009C1363">
      <w:pPr>
        <w:spacing w:after="0" w:line="240" w:lineRule="auto"/>
        <w:rPr>
          <w:rFonts w:ascii="Times New Roman" w:eastAsia="Times New Roman" w:hAnsi="Times New Roman" w:cs="Times New Roman"/>
          <w:color w:val="1F1F1F"/>
          <w:kern w:val="0"/>
          <w:sz w:val="20"/>
          <w:szCs w:val="20"/>
          <w14:ligatures w14:val="none"/>
        </w:rPr>
      </w:pPr>
      <w:r w:rsidRPr="009C1363">
        <w:rPr>
          <w:rFonts w:ascii="Times New Roman" w:eastAsia="Times New Roman" w:hAnsi="Times New Roman" w:cs="Times New Roman"/>
          <w:color w:val="1F1F1F"/>
          <w:kern w:val="0"/>
          <w:sz w:val="20"/>
          <w:szCs w:val="20"/>
          <w14:ligatures w14:val="none"/>
        </w:rPr>
        <w:t>• </w:t>
      </w:r>
      <w:r w:rsidRPr="009C1363">
        <w:rPr>
          <w:rFonts w:ascii="Times New Roman" w:eastAsia="Times New Roman" w:hAnsi="Times New Roman" w:cs="Times New Roman"/>
          <w:b/>
          <w:bCs/>
          <w:color w:val="1F1F1F"/>
          <w:kern w:val="0"/>
          <w:sz w:val="20"/>
          <w:szCs w:val="20"/>
          <w14:ligatures w14:val="none"/>
        </w:rPr>
        <w:t>Inclusion Criteria:</w:t>
      </w:r>
      <w:r w:rsidRPr="009C1363">
        <w:rPr>
          <w:rFonts w:ascii="Times New Roman" w:eastAsia="Times New Roman" w:hAnsi="Times New Roman" w:cs="Times New Roman"/>
          <w:color w:val="1F1F1F"/>
          <w:kern w:val="0"/>
          <w:sz w:val="20"/>
          <w:szCs w:val="20"/>
          <w14:ligatures w14:val="none"/>
        </w:rPr>
        <w:t> Random C-peptide concentrations of 0.2 nmol/L or more, and at least one diabetes-related autoantibody (GADA, IA-2A, or ZnT8).</w:t>
      </w:r>
    </w:p>
    <w:p w14:paraId="63E1FD67" w14:textId="77777777" w:rsidR="009C1363" w:rsidRPr="009C1363" w:rsidRDefault="009C1363" w:rsidP="009C1363">
      <w:pPr>
        <w:spacing w:after="0" w:line="240" w:lineRule="auto"/>
        <w:rPr>
          <w:rFonts w:ascii="Times New Roman" w:eastAsia="Times New Roman" w:hAnsi="Times New Roman" w:cs="Times New Roman"/>
          <w:color w:val="1F1F1F"/>
          <w:kern w:val="0"/>
          <w:sz w:val="20"/>
          <w:szCs w:val="20"/>
          <w14:ligatures w14:val="none"/>
        </w:rPr>
      </w:pPr>
      <w:r w:rsidRPr="009C1363">
        <w:rPr>
          <w:rFonts w:ascii="Times New Roman" w:eastAsia="Times New Roman" w:hAnsi="Times New Roman" w:cs="Times New Roman"/>
          <w:color w:val="1F1F1F"/>
          <w:kern w:val="0"/>
          <w:sz w:val="20"/>
          <w:szCs w:val="20"/>
          <w14:ligatures w14:val="none"/>
        </w:rPr>
        <w:t>• </w:t>
      </w:r>
      <w:r w:rsidRPr="009C1363">
        <w:rPr>
          <w:rFonts w:ascii="Times New Roman" w:eastAsia="Times New Roman" w:hAnsi="Times New Roman" w:cs="Times New Roman"/>
          <w:b/>
          <w:bCs/>
          <w:color w:val="1F1F1F"/>
          <w:kern w:val="0"/>
          <w:sz w:val="20"/>
          <w:szCs w:val="20"/>
          <w14:ligatures w14:val="none"/>
        </w:rPr>
        <w:t>Demographics:</w:t>
      </w:r>
      <w:r w:rsidRPr="009C1363">
        <w:rPr>
          <w:rFonts w:ascii="Times New Roman" w:eastAsia="Times New Roman" w:hAnsi="Times New Roman" w:cs="Times New Roman"/>
          <w:color w:val="1F1F1F"/>
          <w:kern w:val="0"/>
          <w:sz w:val="20"/>
          <w:szCs w:val="20"/>
          <w14:ligatures w14:val="none"/>
        </w:rPr>
        <w:t xml:space="preserve"> 54% female, 46% male. </w:t>
      </w:r>
      <w:proofErr w:type="gramStart"/>
      <w:r w:rsidRPr="009C1363">
        <w:rPr>
          <w:rFonts w:ascii="Times New Roman" w:eastAsia="Times New Roman" w:hAnsi="Times New Roman" w:cs="Times New Roman"/>
          <w:color w:val="1F1F1F"/>
          <w:kern w:val="0"/>
          <w:sz w:val="20"/>
          <w:szCs w:val="20"/>
          <w14:ligatures w14:val="none"/>
        </w:rPr>
        <w:t>The majority of</w:t>
      </w:r>
      <w:proofErr w:type="gramEnd"/>
      <w:r w:rsidRPr="009C1363">
        <w:rPr>
          <w:rFonts w:ascii="Times New Roman" w:eastAsia="Times New Roman" w:hAnsi="Times New Roman" w:cs="Times New Roman"/>
          <w:color w:val="1F1F1F"/>
          <w:kern w:val="0"/>
          <w:sz w:val="20"/>
          <w:szCs w:val="20"/>
          <w14:ligatures w14:val="none"/>
        </w:rPr>
        <w:t xml:space="preserve"> participants were of European ethnicity. Baseline characteristics were generally well-balanced across the main treatment groups.</w:t>
      </w:r>
    </w:p>
    <w:p w14:paraId="6FC34CEE" w14:textId="77777777" w:rsidR="009C1363" w:rsidRPr="009C1363" w:rsidRDefault="009C1363" w:rsidP="009C1363">
      <w:pPr>
        <w:spacing w:after="0" w:line="240" w:lineRule="auto"/>
        <w:rPr>
          <w:rFonts w:ascii="Times New Roman" w:eastAsia="Times New Roman" w:hAnsi="Times New Roman" w:cs="Times New Roman"/>
          <w:color w:val="1F1F1F"/>
          <w:kern w:val="0"/>
          <w:sz w:val="20"/>
          <w:szCs w:val="20"/>
          <w14:ligatures w14:val="none"/>
        </w:rPr>
      </w:pPr>
      <w:r w:rsidRPr="009C1363">
        <w:rPr>
          <w:rFonts w:ascii="Times New Roman" w:eastAsia="Times New Roman" w:hAnsi="Times New Roman" w:cs="Times New Roman"/>
          <w:color w:val="1F1F1F"/>
          <w:kern w:val="0"/>
          <w:sz w:val="20"/>
          <w:szCs w:val="20"/>
          <w14:ligatures w14:val="none"/>
        </w:rPr>
        <w:t>The Adaptive Design</w:t>
      </w:r>
    </w:p>
    <w:p w14:paraId="326B319C" w14:textId="77777777" w:rsidR="009C1363" w:rsidRPr="009C1363" w:rsidRDefault="009C1363" w:rsidP="009C1363">
      <w:pPr>
        <w:spacing w:after="0" w:line="240" w:lineRule="auto"/>
        <w:rPr>
          <w:rFonts w:ascii="Times New Roman" w:eastAsia="Times New Roman" w:hAnsi="Times New Roman" w:cs="Times New Roman"/>
          <w:color w:val="1F1F1F"/>
          <w:kern w:val="0"/>
          <w:sz w:val="20"/>
          <w:szCs w:val="20"/>
          <w14:ligatures w14:val="none"/>
        </w:rPr>
      </w:pPr>
      <w:r w:rsidRPr="009C1363">
        <w:rPr>
          <w:rFonts w:ascii="Times New Roman" w:eastAsia="Times New Roman" w:hAnsi="Times New Roman" w:cs="Times New Roman"/>
          <w:color w:val="1F1F1F"/>
          <w:kern w:val="0"/>
          <w:sz w:val="20"/>
          <w:szCs w:val="20"/>
          <w14:ligatures w14:val="none"/>
        </w:rPr>
        <w:lastRenderedPageBreak/>
        <w:t>A key innovation of the MELD-ATG trial was its adaptive design, which allowed for efficient dose evaluation. The trial was structured into seven consecutive cohorts with six planned interim analyses.</w:t>
      </w:r>
    </w:p>
    <w:p w14:paraId="555AFDC5" w14:textId="77777777" w:rsidR="009C1363" w:rsidRPr="009C1363" w:rsidRDefault="009C1363" w:rsidP="009C1363">
      <w:pPr>
        <w:spacing w:after="0" w:line="240" w:lineRule="auto"/>
        <w:rPr>
          <w:rFonts w:ascii="Times New Roman" w:eastAsia="Times New Roman" w:hAnsi="Times New Roman" w:cs="Times New Roman"/>
          <w:color w:val="1F1F1F"/>
          <w:kern w:val="0"/>
          <w:sz w:val="20"/>
          <w:szCs w:val="20"/>
          <w14:ligatures w14:val="none"/>
        </w:rPr>
      </w:pPr>
      <w:r w:rsidRPr="009C1363">
        <w:rPr>
          <w:rFonts w:ascii="Times New Roman" w:eastAsia="Times New Roman" w:hAnsi="Times New Roman" w:cs="Times New Roman"/>
          <w:color w:val="1F1F1F"/>
          <w:kern w:val="0"/>
          <w:sz w:val="20"/>
          <w:szCs w:val="20"/>
          <w14:ligatures w14:val="none"/>
        </w:rPr>
        <w:t>• </w:t>
      </w:r>
      <w:r w:rsidRPr="009C1363">
        <w:rPr>
          <w:rFonts w:ascii="Times New Roman" w:eastAsia="Times New Roman" w:hAnsi="Times New Roman" w:cs="Times New Roman"/>
          <w:b/>
          <w:bCs/>
          <w:color w:val="1F1F1F"/>
          <w:kern w:val="0"/>
          <w:sz w:val="20"/>
          <w:szCs w:val="20"/>
          <w14:ligatures w14:val="none"/>
        </w:rPr>
        <w:t>Dose Arms:</w:t>
      </w:r>
      <w:r w:rsidRPr="009C1363">
        <w:rPr>
          <w:rFonts w:ascii="Times New Roman" w:eastAsia="Times New Roman" w:hAnsi="Times New Roman" w:cs="Times New Roman"/>
          <w:color w:val="1F1F1F"/>
          <w:kern w:val="0"/>
          <w:sz w:val="20"/>
          <w:szCs w:val="20"/>
          <w14:ligatures w14:val="none"/>
        </w:rPr>
        <w:t> The study initially included placebo and four ATG doses: 0.1 mg/kg, 0.5 mg/kg, 1.5 mg/kg, and 2.5 mg/kg.</w:t>
      </w:r>
    </w:p>
    <w:p w14:paraId="1EC64F14" w14:textId="77777777" w:rsidR="009C1363" w:rsidRPr="009C1363" w:rsidRDefault="009C1363" w:rsidP="009C1363">
      <w:pPr>
        <w:spacing w:after="0" w:line="240" w:lineRule="auto"/>
        <w:rPr>
          <w:rFonts w:ascii="Times New Roman" w:eastAsia="Times New Roman" w:hAnsi="Times New Roman" w:cs="Times New Roman"/>
          <w:color w:val="1F1F1F"/>
          <w:kern w:val="0"/>
          <w:sz w:val="20"/>
          <w:szCs w:val="20"/>
          <w14:ligatures w14:val="none"/>
        </w:rPr>
      </w:pPr>
      <w:r w:rsidRPr="009C1363">
        <w:rPr>
          <w:rFonts w:ascii="Times New Roman" w:eastAsia="Times New Roman" w:hAnsi="Times New Roman" w:cs="Times New Roman"/>
          <w:color w:val="1F1F1F"/>
          <w:kern w:val="0"/>
          <w:sz w:val="20"/>
          <w:szCs w:val="20"/>
          <w14:ligatures w14:val="none"/>
        </w:rPr>
        <w:t>• </w:t>
      </w:r>
      <w:r w:rsidRPr="009C1363">
        <w:rPr>
          <w:rFonts w:ascii="Times New Roman" w:eastAsia="Times New Roman" w:hAnsi="Times New Roman" w:cs="Times New Roman"/>
          <w:b/>
          <w:bCs/>
          <w:color w:val="1F1F1F"/>
          <w:kern w:val="0"/>
          <w:sz w:val="20"/>
          <w:szCs w:val="20"/>
          <w14:ligatures w14:val="none"/>
        </w:rPr>
        <w:t>Dose Selection:</w:t>
      </w:r>
      <w:r w:rsidRPr="009C1363">
        <w:rPr>
          <w:rFonts w:ascii="Times New Roman" w:eastAsia="Times New Roman" w:hAnsi="Times New Roman" w:cs="Times New Roman"/>
          <w:color w:val="1F1F1F"/>
          <w:kern w:val="0"/>
          <w:sz w:val="20"/>
          <w:szCs w:val="20"/>
          <w14:ligatures w14:val="none"/>
        </w:rPr>
        <w:t xml:space="preserve"> An unmasked dose determining committee used accruing data on safety, stimulated C-peptide concentrations, and CD4 to CD8 T-cell ratios to select which doses to advance to subsequent cohorts. This design "limit[s] experimentation at dose levels that show either a lack of response or unwanted </w:t>
      </w:r>
      <w:proofErr w:type="gramStart"/>
      <w:r w:rsidRPr="009C1363">
        <w:rPr>
          <w:rFonts w:ascii="Times New Roman" w:eastAsia="Times New Roman" w:hAnsi="Times New Roman" w:cs="Times New Roman"/>
          <w:color w:val="1F1F1F"/>
          <w:kern w:val="0"/>
          <w:sz w:val="20"/>
          <w:szCs w:val="20"/>
          <w14:ligatures w14:val="none"/>
        </w:rPr>
        <w:t>side-effects, and</w:t>
      </w:r>
      <w:proofErr w:type="gramEnd"/>
      <w:r w:rsidRPr="009C1363">
        <w:rPr>
          <w:rFonts w:ascii="Times New Roman" w:eastAsia="Times New Roman" w:hAnsi="Times New Roman" w:cs="Times New Roman"/>
          <w:color w:val="1F1F1F"/>
          <w:kern w:val="0"/>
          <w:sz w:val="20"/>
          <w:szCs w:val="20"/>
          <w14:ligatures w14:val="none"/>
        </w:rPr>
        <w:t xml:space="preserve"> can more rapidly and efficiently identify the lowest safe and efficacious dose."</w:t>
      </w:r>
    </w:p>
    <w:p w14:paraId="38D463F2" w14:textId="77777777" w:rsidR="009C1363" w:rsidRPr="009C1363" w:rsidRDefault="009C1363" w:rsidP="009C1363">
      <w:pPr>
        <w:spacing w:after="0" w:line="240" w:lineRule="auto"/>
        <w:rPr>
          <w:rFonts w:ascii="Times New Roman" w:eastAsia="Times New Roman" w:hAnsi="Times New Roman" w:cs="Times New Roman"/>
          <w:color w:val="1F1F1F"/>
          <w:kern w:val="0"/>
          <w:sz w:val="20"/>
          <w:szCs w:val="20"/>
          <w14:ligatures w14:val="none"/>
        </w:rPr>
      </w:pPr>
      <w:r w:rsidRPr="009C1363">
        <w:rPr>
          <w:rFonts w:ascii="Times New Roman" w:eastAsia="Times New Roman" w:hAnsi="Times New Roman" w:cs="Times New Roman"/>
          <w:color w:val="1F1F1F"/>
          <w:kern w:val="0"/>
          <w:sz w:val="20"/>
          <w:szCs w:val="20"/>
          <w14:ligatures w14:val="none"/>
        </w:rPr>
        <w:t>• </w:t>
      </w:r>
      <w:r w:rsidRPr="009C1363">
        <w:rPr>
          <w:rFonts w:ascii="Times New Roman" w:eastAsia="Times New Roman" w:hAnsi="Times New Roman" w:cs="Times New Roman"/>
          <w:b/>
          <w:bCs/>
          <w:color w:val="1F1F1F"/>
          <w:kern w:val="0"/>
          <w:sz w:val="20"/>
          <w:szCs w:val="20"/>
          <w14:ligatures w14:val="none"/>
        </w:rPr>
        <w:t>Dose Dropping:</w:t>
      </w:r>
      <w:r w:rsidRPr="009C1363">
        <w:rPr>
          <w:rFonts w:ascii="Times New Roman" w:eastAsia="Times New Roman" w:hAnsi="Times New Roman" w:cs="Times New Roman"/>
          <w:color w:val="1F1F1F"/>
          <w:kern w:val="0"/>
          <w:sz w:val="20"/>
          <w:szCs w:val="20"/>
          <w14:ligatures w14:val="none"/>
        </w:rPr>
        <w:t> The 0.1 mg/kg dose was dropped after the first interim analysis, and the 1.5 mg/kg dose was dropped after the third. The final cohorts (4–7) focused on placebo, 0.5 mg/kg, and 2.5 mg/kg ATG.</w:t>
      </w:r>
    </w:p>
    <w:p w14:paraId="470AFECD" w14:textId="77777777" w:rsidR="009C1363" w:rsidRPr="009C1363" w:rsidRDefault="009C1363" w:rsidP="009C1363">
      <w:pPr>
        <w:spacing w:after="0" w:line="240" w:lineRule="auto"/>
        <w:rPr>
          <w:rFonts w:ascii="Times New Roman" w:eastAsia="Times New Roman" w:hAnsi="Times New Roman" w:cs="Times New Roman"/>
          <w:color w:val="1F1F1F"/>
          <w:kern w:val="0"/>
          <w:sz w:val="20"/>
          <w:szCs w:val="20"/>
          <w14:ligatures w14:val="none"/>
        </w:rPr>
      </w:pPr>
      <w:r w:rsidRPr="009C1363">
        <w:rPr>
          <w:rFonts w:ascii="Times New Roman" w:eastAsia="Times New Roman" w:hAnsi="Times New Roman" w:cs="Times New Roman"/>
          <w:color w:val="1F1F1F"/>
          <w:kern w:val="0"/>
          <w:sz w:val="20"/>
          <w:szCs w:val="20"/>
          <w14:ligatures w14:val="none"/>
        </w:rPr>
        <w:t>Outcomes</w:t>
      </w:r>
    </w:p>
    <w:p w14:paraId="0BDDC7AE" w14:textId="77777777" w:rsidR="009C1363" w:rsidRPr="009C1363" w:rsidRDefault="009C1363" w:rsidP="009C1363">
      <w:pPr>
        <w:spacing w:after="0" w:line="240" w:lineRule="auto"/>
        <w:rPr>
          <w:rFonts w:ascii="Times New Roman" w:eastAsia="Times New Roman" w:hAnsi="Times New Roman" w:cs="Times New Roman"/>
          <w:color w:val="1F1F1F"/>
          <w:kern w:val="0"/>
          <w:sz w:val="20"/>
          <w:szCs w:val="20"/>
          <w14:ligatures w14:val="none"/>
        </w:rPr>
      </w:pPr>
      <w:r w:rsidRPr="009C1363">
        <w:rPr>
          <w:rFonts w:ascii="Times New Roman" w:eastAsia="Times New Roman" w:hAnsi="Times New Roman" w:cs="Times New Roman"/>
          <w:color w:val="1F1F1F"/>
          <w:kern w:val="0"/>
          <w:sz w:val="20"/>
          <w:szCs w:val="20"/>
          <w14:ligatures w14:val="none"/>
        </w:rPr>
        <w:t>• </w:t>
      </w:r>
      <w:r w:rsidRPr="009C1363">
        <w:rPr>
          <w:rFonts w:ascii="Times New Roman" w:eastAsia="Times New Roman" w:hAnsi="Times New Roman" w:cs="Times New Roman"/>
          <w:b/>
          <w:bCs/>
          <w:color w:val="1F1F1F"/>
          <w:kern w:val="0"/>
          <w:sz w:val="20"/>
          <w:szCs w:val="20"/>
          <w14:ligatures w14:val="none"/>
        </w:rPr>
        <w:t>Primary Outcome:</w:t>
      </w:r>
      <w:r w:rsidRPr="009C1363">
        <w:rPr>
          <w:rFonts w:ascii="Times New Roman" w:eastAsia="Times New Roman" w:hAnsi="Times New Roman" w:cs="Times New Roman"/>
          <w:color w:val="1F1F1F"/>
          <w:kern w:val="0"/>
          <w:sz w:val="20"/>
          <w:szCs w:val="20"/>
          <w14:ligatures w14:val="none"/>
        </w:rPr>
        <w:t xml:space="preserve"> The area under the curve (AUC) of stimulated C-peptide concentration during a 2-hour mixed-meal tolerance test (MMTT) at 12 months, measured as </w:t>
      </w:r>
      <w:proofErr w:type="gramStart"/>
      <w:r w:rsidRPr="009C1363">
        <w:rPr>
          <w:rFonts w:ascii="Times New Roman" w:eastAsia="Times New Roman" w:hAnsi="Times New Roman" w:cs="Times New Roman"/>
          <w:color w:val="1F1F1F"/>
          <w:kern w:val="0"/>
          <w:sz w:val="20"/>
          <w:szCs w:val="20"/>
          <w14:ligatures w14:val="none"/>
        </w:rPr>
        <w:t>ln(</w:t>
      </w:r>
      <w:proofErr w:type="gramEnd"/>
      <w:r w:rsidRPr="009C1363">
        <w:rPr>
          <w:rFonts w:ascii="Times New Roman" w:eastAsia="Times New Roman" w:hAnsi="Times New Roman" w:cs="Times New Roman"/>
          <w:color w:val="1F1F1F"/>
          <w:kern w:val="0"/>
          <w:sz w:val="20"/>
          <w:szCs w:val="20"/>
          <w14:ligatures w14:val="none"/>
        </w:rPr>
        <w:t>AUC C-peptide + 1).</w:t>
      </w:r>
    </w:p>
    <w:p w14:paraId="56422372" w14:textId="77777777" w:rsidR="009C1363" w:rsidRPr="009C1363" w:rsidRDefault="009C1363" w:rsidP="009C1363">
      <w:pPr>
        <w:spacing w:after="0" w:line="240" w:lineRule="auto"/>
        <w:rPr>
          <w:rFonts w:ascii="Times New Roman" w:eastAsia="Times New Roman" w:hAnsi="Times New Roman" w:cs="Times New Roman"/>
          <w:color w:val="1F1F1F"/>
          <w:kern w:val="0"/>
          <w:sz w:val="20"/>
          <w:szCs w:val="20"/>
          <w14:ligatures w14:val="none"/>
        </w:rPr>
      </w:pPr>
      <w:r w:rsidRPr="009C1363">
        <w:rPr>
          <w:rFonts w:ascii="Times New Roman" w:eastAsia="Times New Roman" w:hAnsi="Times New Roman" w:cs="Times New Roman"/>
          <w:color w:val="1F1F1F"/>
          <w:kern w:val="0"/>
          <w:sz w:val="20"/>
          <w:szCs w:val="20"/>
          <w14:ligatures w14:val="none"/>
        </w:rPr>
        <w:t>• </w:t>
      </w:r>
      <w:r w:rsidRPr="009C1363">
        <w:rPr>
          <w:rFonts w:ascii="Times New Roman" w:eastAsia="Times New Roman" w:hAnsi="Times New Roman" w:cs="Times New Roman"/>
          <w:b/>
          <w:bCs/>
          <w:color w:val="1F1F1F"/>
          <w:kern w:val="0"/>
          <w:sz w:val="20"/>
          <w:szCs w:val="20"/>
          <w14:ligatures w14:val="none"/>
        </w:rPr>
        <w:t>Secondary Outcomes:</w:t>
      </w:r>
      <w:r w:rsidRPr="009C1363">
        <w:rPr>
          <w:rFonts w:ascii="Times New Roman" w:eastAsia="Times New Roman" w:hAnsi="Times New Roman" w:cs="Times New Roman"/>
          <w:color w:val="1F1F1F"/>
          <w:kern w:val="0"/>
          <w:sz w:val="20"/>
          <w:szCs w:val="20"/>
          <w14:ligatures w14:val="none"/>
        </w:rPr>
        <w:t> Included HbA1c, total daily insulin dose, continuous glucose monitoring (CGM) metrics, and the ratio of CD4 to CD8 T-cells.</w:t>
      </w:r>
    </w:p>
    <w:p w14:paraId="42569FF6" w14:textId="77777777" w:rsidR="009C1363" w:rsidRPr="009C1363" w:rsidRDefault="009C1363" w:rsidP="009C1363">
      <w:pPr>
        <w:spacing w:after="0" w:line="240" w:lineRule="auto"/>
        <w:rPr>
          <w:rFonts w:ascii="Times New Roman" w:eastAsia="Times New Roman" w:hAnsi="Times New Roman" w:cs="Times New Roman"/>
          <w:color w:val="1F1F1F"/>
          <w:kern w:val="0"/>
          <w:sz w:val="20"/>
          <w:szCs w:val="20"/>
          <w14:ligatures w14:val="none"/>
        </w:rPr>
      </w:pPr>
      <w:r w:rsidRPr="009C1363">
        <w:rPr>
          <w:rFonts w:ascii="Times New Roman" w:eastAsia="Times New Roman" w:hAnsi="Times New Roman" w:cs="Times New Roman"/>
          <w:color w:val="1F1F1F"/>
          <w:kern w:val="0"/>
          <w:sz w:val="20"/>
          <w:szCs w:val="20"/>
          <w14:ligatures w14:val="none"/>
        </w:rPr>
        <w:t>3. Key Efficacy Findings</w:t>
      </w:r>
    </w:p>
    <w:p w14:paraId="10436827" w14:textId="77777777" w:rsidR="009C1363" w:rsidRPr="009C1363" w:rsidRDefault="009C1363" w:rsidP="009C1363">
      <w:pPr>
        <w:spacing w:after="0" w:line="240" w:lineRule="auto"/>
        <w:rPr>
          <w:rFonts w:ascii="Times New Roman" w:eastAsia="Times New Roman" w:hAnsi="Times New Roman" w:cs="Times New Roman"/>
          <w:color w:val="1F1F1F"/>
          <w:kern w:val="0"/>
          <w:sz w:val="20"/>
          <w:szCs w:val="20"/>
          <w14:ligatures w14:val="none"/>
        </w:rPr>
      </w:pPr>
      <w:r w:rsidRPr="009C1363">
        <w:rPr>
          <w:rFonts w:ascii="Times New Roman" w:eastAsia="Times New Roman" w:hAnsi="Times New Roman" w:cs="Times New Roman"/>
          <w:color w:val="1F1F1F"/>
          <w:kern w:val="0"/>
          <w:sz w:val="20"/>
          <w:szCs w:val="20"/>
          <w14:ligatures w14:val="none"/>
        </w:rPr>
        <w:t>Primary Outcome: C-Peptide Preservation</w:t>
      </w:r>
    </w:p>
    <w:p w14:paraId="04FF5419" w14:textId="77777777" w:rsidR="009C1363" w:rsidRPr="009C1363" w:rsidRDefault="009C1363" w:rsidP="009C1363">
      <w:pPr>
        <w:spacing w:after="0" w:line="240" w:lineRule="auto"/>
        <w:rPr>
          <w:rFonts w:ascii="Times New Roman" w:eastAsia="Times New Roman" w:hAnsi="Times New Roman" w:cs="Times New Roman"/>
          <w:color w:val="1F1F1F"/>
          <w:kern w:val="0"/>
          <w:sz w:val="20"/>
          <w:szCs w:val="20"/>
          <w14:ligatures w14:val="none"/>
        </w:rPr>
      </w:pPr>
      <w:r w:rsidRPr="009C1363">
        <w:rPr>
          <w:rFonts w:ascii="Times New Roman" w:eastAsia="Times New Roman" w:hAnsi="Times New Roman" w:cs="Times New Roman"/>
          <w:color w:val="1F1F1F"/>
          <w:kern w:val="0"/>
          <w:sz w:val="20"/>
          <w:szCs w:val="20"/>
          <w14:ligatures w14:val="none"/>
        </w:rPr>
        <w:t>The study successfully met its primary endpoint, demonstrating that both the 2.5 mg/kg and 0.5 mg/kg doses of ATG significantly preserved β-cell function compared to placebo at 12 months.</w:t>
      </w:r>
    </w:p>
    <w:tbl>
      <w:tblPr>
        <w:tblW w:w="0" w:type="auto"/>
        <w:tblCellMar>
          <w:top w:w="15" w:type="dxa"/>
          <w:left w:w="15" w:type="dxa"/>
          <w:bottom w:w="15" w:type="dxa"/>
          <w:right w:w="15" w:type="dxa"/>
        </w:tblCellMar>
        <w:tblLook w:val="04A0" w:firstRow="1" w:lastRow="0" w:firstColumn="1" w:lastColumn="0" w:noHBand="0" w:noVBand="1"/>
      </w:tblPr>
      <w:tblGrid>
        <w:gridCol w:w="1347"/>
        <w:gridCol w:w="3482"/>
        <w:gridCol w:w="3312"/>
        <w:gridCol w:w="630"/>
      </w:tblGrid>
      <w:tr w:rsidR="009C1363" w:rsidRPr="009C1363" w14:paraId="70B52232" w14:textId="77777777">
        <w:tc>
          <w:tcPr>
            <w:tcW w:w="0" w:type="auto"/>
            <w:vAlign w:val="center"/>
            <w:hideMark/>
          </w:tcPr>
          <w:p w14:paraId="5249F1D6" w14:textId="77777777" w:rsidR="009C1363" w:rsidRPr="009C1363" w:rsidRDefault="009C1363" w:rsidP="009C1363">
            <w:pPr>
              <w:spacing w:after="0" w:line="240" w:lineRule="auto"/>
              <w:rPr>
                <w:rFonts w:ascii="Times New Roman" w:eastAsia="Times New Roman" w:hAnsi="Times New Roman" w:cs="Times New Roman"/>
                <w:kern w:val="0"/>
                <w:sz w:val="20"/>
                <w:szCs w:val="20"/>
                <w14:ligatures w14:val="none"/>
              </w:rPr>
            </w:pPr>
            <w:r w:rsidRPr="009C1363">
              <w:rPr>
                <w:rFonts w:ascii="Times New Roman" w:eastAsia="Times New Roman" w:hAnsi="Times New Roman" w:cs="Times New Roman"/>
                <w:kern w:val="0"/>
                <w:sz w:val="20"/>
                <w:szCs w:val="20"/>
                <w14:ligatures w14:val="none"/>
              </w:rPr>
              <w:t>Group</w:t>
            </w:r>
          </w:p>
        </w:tc>
        <w:tc>
          <w:tcPr>
            <w:tcW w:w="0" w:type="auto"/>
            <w:vAlign w:val="center"/>
            <w:hideMark/>
          </w:tcPr>
          <w:p w14:paraId="79CF85C4" w14:textId="77777777" w:rsidR="009C1363" w:rsidRPr="009C1363" w:rsidRDefault="009C1363" w:rsidP="009C1363">
            <w:pPr>
              <w:spacing w:after="0" w:line="240" w:lineRule="auto"/>
              <w:rPr>
                <w:rFonts w:ascii="Times New Roman" w:eastAsia="Times New Roman" w:hAnsi="Times New Roman" w:cs="Times New Roman"/>
                <w:kern w:val="0"/>
                <w:sz w:val="20"/>
                <w:szCs w:val="20"/>
                <w14:ligatures w14:val="none"/>
              </w:rPr>
            </w:pPr>
            <w:r w:rsidRPr="009C1363">
              <w:rPr>
                <w:rFonts w:ascii="Times New Roman" w:eastAsia="Times New Roman" w:hAnsi="Times New Roman" w:cs="Times New Roman"/>
                <w:kern w:val="0"/>
                <w:sz w:val="20"/>
                <w:szCs w:val="20"/>
                <w14:ligatures w14:val="none"/>
              </w:rPr>
              <w:t xml:space="preserve">Mean </w:t>
            </w:r>
            <w:proofErr w:type="gramStart"/>
            <w:r w:rsidRPr="009C1363">
              <w:rPr>
                <w:rFonts w:ascii="Times New Roman" w:eastAsia="Times New Roman" w:hAnsi="Times New Roman" w:cs="Times New Roman"/>
                <w:kern w:val="0"/>
                <w:sz w:val="20"/>
                <w:szCs w:val="20"/>
                <w14:ligatures w14:val="none"/>
              </w:rPr>
              <w:t>ln(</w:t>
            </w:r>
            <w:proofErr w:type="gramEnd"/>
            <w:r w:rsidRPr="009C1363">
              <w:rPr>
                <w:rFonts w:ascii="Times New Roman" w:eastAsia="Times New Roman" w:hAnsi="Times New Roman" w:cs="Times New Roman"/>
                <w:kern w:val="0"/>
                <w:sz w:val="20"/>
                <w:szCs w:val="20"/>
                <w14:ligatures w14:val="none"/>
              </w:rPr>
              <w:t>AUC C-peptide + 1) at 12 months</w:t>
            </w:r>
          </w:p>
        </w:tc>
        <w:tc>
          <w:tcPr>
            <w:tcW w:w="0" w:type="auto"/>
            <w:vAlign w:val="center"/>
            <w:hideMark/>
          </w:tcPr>
          <w:p w14:paraId="294BA70B" w14:textId="77777777" w:rsidR="009C1363" w:rsidRPr="009C1363" w:rsidRDefault="009C1363" w:rsidP="009C1363">
            <w:pPr>
              <w:spacing w:after="0" w:line="240" w:lineRule="auto"/>
              <w:rPr>
                <w:rFonts w:ascii="Times New Roman" w:eastAsia="Times New Roman" w:hAnsi="Times New Roman" w:cs="Times New Roman"/>
                <w:kern w:val="0"/>
                <w:sz w:val="20"/>
                <w:szCs w:val="20"/>
                <w14:ligatures w14:val="none"/>
              </w:rPr>
            </w:pPr>
            <w:r w:rsidRPr="009C1363">
              <w:rPr>
                <w:rFonts w:ascii="Times New Roman" w:eastAsia="Times New Roman" w:hAnsi="Times New Roman" w:cs="Times New Roman"/>
                <w:kern w:val="0"/>
                <w:sz w:val="20"/>
                <w:szCs w:val="20"/>
                <w14:ligatures w14:val="none"/>
              </w:rPr>
              <w:t>Mean Difference from Placebo (95% CI)</w:t>
            </w:r>
          </w:p>
        </w:tc>
        <w:tc>
          <w:tcPr>
            <w:tcW w:w="0" w:type="auto"/>
            <w:vAlign w:val="center"/>
            <w:hideMark/>
          </w:tcPr>
          <w:p w14:paraId="5654079E" w14:textId="77777777" w:rsidR="009C1363" w:rsidRPr="009C1363" w:rsidRDefault="009C1363" w:rsidP="009C1363">
            <w:pPr>
              <w:spacing w:after="0" w:line="240" w:lineRule="auto"/>
              <w:rPr>
                <w:rFonts w:ascii="Times New Roman" w:eastAsia="Times New Roman" w:hAnsi="Times New Roman" w:cs="Times New Roman"/>
                <w:kern w:val="0"/>
                <w:sz w:val="20"/>
                <w:szCs w:val="20"/>
                <w14:ligatures w14:val="none"/>
              </w:rPr>
            </w:pPr>
            <w:r w:rsidRPr="009C1363">
              <w:rPr>
                <w:rFonts w:ascii="Times New Roman" w:eastAsia="Times New Roman" w:hAnsi="Times New Roman" w:cs="Times New Roman"/>
                <w:kern w:val="0"/>
                <w:sz w:val="20"/>
                <w:szCs w:val="20"/>
                <w14:ligatures w14:val="none"/>
              </w:rPr>
              <w:t>p-value</w:t>
            </w:r>
          </w:p>
        </w:tc>
      </w:tr>
      <w:tr w:rsidR="009C1363" w:rsidRPr="009C1363" w14:paraId="3F8108A5" w14:textId="77777777">
        <w:tc>
          <w:tcPr>
            <w:tcW w:w="0" w:type="auto"/>
            <w:vAlign w:val="center"/>
            <w:hideMark/>
          </w:tcPr>
          <w:p w14:paraId="6FEDC448" w14:textId="77777777" w:rsidR="009C1363" w:rsidRPr="009C1363" w:rsidRDefault="009C1363" w:rsidP="009C1363">
            <w:pPr>
              <w:spacing w:after="0" w:line="240" w:lineRule="auto"/>
              <w:rPr>
                <w:rFonts w:ascii="Times New Roman" w:eastAsia="Times New Roman" w:hAnsi="Times New Roman" w:cs="Times New Roman"/>
                <w:kern w:val="0"/>
                <w:sz w:val="20"/>
                <w:szCs w:val="20"/>
                <w14:ligatures w14:val="none"/>
              </w:rPr>
            </w:pPr>
            <w:r w:rsidRPr="009C1363">
              <w:rPr>
                <w:rFonts w:ascii="Times New Roman" w:eastAsia="Times New Roman" w:hAnsi="Times New Roman" w:cs="Times New Roman"/>
                <w:b/>
                <w:bCs/>
                <w:kern w:val="0"/>
                <w:sz w:val="20"/>
                <w:szCs w:val="20"/>
                <w14:ligatures w14:val="none"/>
              </w:rPr>
              <w:t>Placebo</w:t>
            </w:r>
          </w:p>
        </w:tc>
        <w:tc>
          <w:tcPr>
            <w:tcW w:w="0" w:type="auto"/>
            <w:vAlign w:val="center"/>
            <w:hideMark/>
          </w:tcPr>
          <w:p w14:paraId="0F90028F" w14:textId="77777777" w:rsidR="009C1363" w:rsidRPr="009C1363" w:rsidRDefault="009C1363" w:rsidP="009C1363">
            <w:pPr>
              <w:spacing w:after="0" w:line="240" w:lineRule="auto"/>
              <w:rPr>
                <w:rFonts w:ascii="Times New Roman" w:eastAsia="Times New Roman" w:hAnsi="Times New Roman" w:cs="Times New Roman"/>
                <w:kern w:val="0"/>
                <w:sz w:val="20"/>
                <w:szCs w:val="20"/>
                <w14:ligatures w14:val="none"/>
              </w:rPr>
            </w:pPr>
            <w:r w:rsidRPr="009C1363">
              <w:rPr>
                <w:rFonts w:ascii="Times New Roman" w:eastAsia="Times New Roman" w:hAnsi="Times New Roman" w:cs="Times New Roman"/>
                <w:kern w:val="0"/>
                <w:sz w:val="20"/>
                <w:szCs w:val="20"/>
                <w14:ligatures w14:val="none"/>
              </w:rPr>
              <w:t>0.411 nmol/L per min</w:t>
            </w:r>
          </w:p>
        </w:tc>
        <w:tc>
          <w:tcPr>
            <w:tcW w:w="0" w:type="auto"/>
            <w:vAlign w:val="center"/>
            <w:hideMark/>
          </w:tcPr>
          <w:p w14:paraId="22BED9EE" w14:textId="77777777" w:rsidR="009C1363" w:rsidRPr="009C1363" w:rsidRDefault="009C1363" w:rsidP="009C1363">
            <w:pPr>
              <w:spacing w:after="0" w:line="240" w:lineRule="auto"/>
              <w:rPr>
                <w:rFonts w:ascii="Times New Roman" w:eastAsia="Times New Roman" w:hAnsi="Times New Roman" w:cs="Times New Roman"/>
                <w:kern w:val="0"/>
                <w:sz w:val="20"/>
                <w:szCs w:val="20"/>
                <w14:ligatures w14:val="none"/>
              </w:rPr>
            </w:pPr>
            <w:r w:rsidRPr="009C1363">
              <w:rPr>
                <w:rFonts w:ascii="Times New Roman" w:eastAsia="Times New Roman" w:hAnsi="Times New Roman" w:cs="Times New Roman"/>
                <w:kern w:val="0"/>
                <w:sz w:val="20"/>
                <w:szCs w:val="20"/>
                <w14:ligatures w14:val="none"/>
              </w:rPr>
              <w:t>—</w:t>
            </w:r>
          </w:p>
        </w:tc>
        <w:tc>
          <w:tcPr>
            <w:tcW w:w="0" w:type="auto"/>
            <w:vAlign w:val="center"/>
            <w:hideMark/>
          </w:tcPr>
          <w:p w14:paraId="0EBB38DC" w14:textId="77777777" w:rsidR="009C1363" w:rsidRPr="009C1363" w:rsidRDefault="009C1363" w:rsidP="009C1363">
            <w:pPr>
              <w:spacing w:after="0" w:line="240" w:lineRule="auto"/>
              <w:rPr>
                <w:rFonts w:ascii="Times New Roman" w:eastAsia="Times New Roman" w:hAnsi="Times New Roman" w:cs="Times New Roman"/>
                <w:kern w:val="0"/>
                <w:sz w:val="20"/>
                <w:szCs w:val="20"/>
                <w14:ligatures w14:val="none"/>
              </w:rPr>
            </w:pPr>
            <w:r w:rsidRPr="009C1363">
              <w:rPr>
                <w:rFonts w:ascii="Times New Roman" w:eastAsia="Times New Roman" w:hAnsi="Times New Roman" w:cs="Times New Roman"/>
                <w:kern w:val="0"/>
                <w:sz w:val="20"/>
                <w:szCs w:val="20"/>
                <w14:ligatures w14:val="none"/>
              </w:rPr>
              <w:t>—</w:t>
            </w:r>
          </w:p>
        </w:tc>
      </w:tr>
      <w:tr w:rsidR="009C1363" w:rsidRPr="009C1363" w14:paraId="67954DE2" w14:textId="77777777">
        <w:tc>
          <w:tcPr>
            <w:tcW w:w="0" w:type="auto"/>
            <w:vAlign w:val="center"/>
            <w:hideMark/>
          </w:tcPr>
          <w:p w14:paraId="543568AC" w14:textId="77777777" w:rsidR="009C1363" w:rsidRPr="009C1363" w:rsidRDefault="009C1363" w:rsidP="009C1363">
            <w:pPr>
              <w:spacing w:after="0" w:line="240" w:lineRule="auto"/>
              <w:rPr>
                <w:rFonts w:ascii="Times New Roman" w:eastAsia="Times New Roman" w:hAnsi="Times New Roman" w:cs="Times New Roman"/>
                <w:kern w:val="0"/>
                <w:sz w:val="20"/>
                <w:szCs w:val="20"/>
                <w14:ligatures w14:val="none"/>
              </w:rPr>
            </w:pPr>
            <w:r w:rsidRPr="009C1363">
              <w:rPr>
                <w:rFonts w:ascii="Times New Roman" w:eastAsia="Times New Roman" w:hAnsi="Times New Roman" w:cs="Times New Roman"/>
                <w:b/>
                <w:bCs/>
                <w:kern w:val="0"/>
                <w:sz w:val="20"/>
                <w:szCs w:val="20"/>
                <w14:ligatures w14:val="none"/>
              </w:rPr>
              <w:t>2.5 mg/kg ATG</w:t>
            </w:r>
          </w:p>
        </w:tc>
        <w:tc>
          <w:tcPr>
            <w:tcW w:w="0" w:type="auto"/>
            <w:vAlign w:val="center"/>
            <w:hideMark/>
          </w:tcPr>
          <w:p w14:paraId="1FFD7A4F" w14:textId="77777777" w:rsidR="009C1363" w:rsidRPr="009C1363" w:rsidRDefault="009C1363" w:rsidP="009C1363">
            <w:pPr>
              <w:spacing w:after="0" w:line="240" w:lineRule="auto"/>
              <w:rPr>
                <w:rFonts w:ascii="Times New Roman" w:eastAsia="Times New Roman" w:hAnsi="Times New Roman" w:cs="Times New Roman"/>
                <w:kern w:val="0"/>
                <w:sz w:val="20"/>
                <w:szCs w:val="20"/>
                <w14:ligatures w14:val="none"/>
              </w:rPr>
            </w:pPr>
            <w:r w:rsidRPr="009C1363">
              <w:rPr>
                <w:rFonts w:ascii="Times New Roman" w:eastAsia="Times New Roman" w:hAnsi="Times New Roman" w:cs="Times New Roman"/>
                <w:kern w:val="0"/>
                <w:sz w:val="20"/>
                <w:szCs w:val="20"/>
                <w14:ligatures w14:val="none"/>
              </w:rPr>
              <w:t>0.535 nmol/L per min</w:t>
            </w:r>
          </w:p>
        </w:tc>
        <w:tc>
          <w:tcPr>
            <w:tcW w:w="0" w:type="auto"/>
            <w:vAlign w:val="center"/>
            <w:hideMark/>
          </w:tcPr>
          <w:p w14:paraId="5A49EAC9" w14:textId="77777777" w:rsidR="009C1363" w:rsidRPr="009C1363" w:rsidRDefault="009C1363" w:rsidP="009C1363">
            <w:pPr>
              <w:spacing w:after="0" w:line="240" w:lineRule="auto"/>
              <w:rPr>
                <w:rFonts w:ascii="Times New Roman" w:eastAsia="Times New Roman" w:hAnsi="Times New Roman" w:cs="Times New Roman"/>
                <w:kern w:val="0"/>
                <w:sz w:val="20"/>
                <w:szCs w:val="20"/>
                <w14:ligatures w14:val="none"/>
              </w:rPr>
            </w:pPr>
            <w:r w:rsidRPr="009C1363">
              <w:rPr>
                <w:rFonts w:ascii="Times New Roman" w:eastAsia="Times New Roman" w:hAnsi="Times New Roman" w:cs="Times New Roman"/>
                <w:kern w:val="0"/>
                <w:sz w:val="20"/>
                <w:szCs w:val="20"/>
                <w14:ligatures w14:val="none"/>
              </w:rPr>
              <w:t>0.124 (0.043–0.205)</w:t>
            </w:r>
          </w:p>
        </w:tc>
        <w:tc>
          <w:tcPr>
            <w:tcW w:w="0" w:type="auto"/>
            <w:vAlign w:val="center"/>
            <w:hideMark/>
          </w:tcPr>
          <w:p w14:paraId="60C102CD" w14:textId="77777777" w:rsidR="009C1363" w:rsidRPr="009C1363" w:rsidRDefault="009C1363" w:rsidP="009C1363">
            <w:pPr>
              <w:spacing w:after="0" w:line="240" w:lineRule="auto"/>
              <w:rPr>
                <w:rFonts w:ascii="Times New Roman" w:eastAsia="Times New Roman" w:hAnsi="Times New Roman" w:cs="Times New Roman"/>
                <w:kern w:val="0"/>
                <w:sz w:val="20"/>
                <w:szCs w:val="20"/>
                <w14:ligatures w14:val="none"/>
              </w:rPr>
            </w:pPr>
            <w:r w:rsidRPr="009C1363">
              <w:rPr>
                <w:rFonts w:ascii="Times New Roman" w:eastAsia="Times New Roman" w:hAnsi="Times New Roman" w:cs="Times New Roman"/>
                <w:b/>
                <w:bCs/>
                <w:kern w:val="0"/>
                <w:sz w:val="20"/>
                <w:szCs w:val="20"/>
                <w14:ligatures w14:val="none"/>
              </w:rPr>
              <w:t>0.0028</w:t>
            </w:r>
          </w:p>
        </w:tc>
      </w:tr>
      <w:tr w:rsidR="009C1363" w:rsidRPr="009C1363" w14:paraId="0564B80D" w14:textId="77777777">
        <w:tc>
          <w:tcPr>
            <w:tcW w:w="0" w:type="auto"/>
            <w:vAlign w:val="center"/>
            <w:hideMark/>
          </w:tcPr>
          <w:p w14:paraId="65D9C804" w14:textId="77777777" w:rsidR="009C1363" w:rsidRPr="009C1363" w:rsidRDefault="009C1363" w:rsidP="009C1363">
            <w:pPr>
              <w:spacing w:after="0" w:line="240" w:lineRule="auto"/>
              <w:rPr>
                <w:rFonts w:ascii="Times New Roman" w:eastAsia="Times New Roman" w:hAnsi="Times New Roman" w:cs="Times New Roman"/>
                <w:kern w:val="0"/>
                <w:sz w:val="20"/>
                <w:szCs w:val="20"/>
                <w14:ligatures w14:val="none"/>
              </w:rPr>
            </w:pPr>
            <w:r w:rsidRPr="009C1363">
              <w:rPr>
                <w:rFonts w:ascii="Times New Roman" w:eastAsia="Times New Roman" w:hAnsi="Times New Roman" w:cs="Times New Roman"/>
                <w:b/>
                <w:bCs/>
                <w:kern w:val="0"/>
                <w:sz w:val="20"/>
                <w:szCs w:val="20"/>
                <w14:ligatures w14:val="none"/>
              </w:rPr>
              <w:t>0.5 mg/kg ATG</w:t>
            </w:r>
          </w:p>
        </w:tc>
        <w:tc>
          <w:tcPr>
            <w:tcW w:w="0" w:type="auto"/>
            <w:vAlign w:val="center"/>
            <w:hideMark/>
          </w:tcPr>
          <w:p w14:paraId="6EDB3763" w14:textId="77777777" w:rsidR="009C1363" w:rsidRPr="009C1363" w:rsidRDefault="009C1363" w:rsidP="009C1363">
            <w:pPr>
              <w:spacing w:after="0" w:line="240" w:lineRule="auto"/>
              <w:rPr>
                <w:rFonts w:ascii="Times New Roman" w:eastAsia="Times New Roman" w:hAnsi="Times New Roman" w:cs="Times New Roman"/>
                <w:kern w:val="0"/>
                <w:sz w:val="20"/>
                <w:szCs w:val="20"/>
                <w14:ligatures w14:val="none"/>
              </w:rPr>
            </w:pPr>
            <w:r w:rsidRPr="009C1363">
              <w:rPr>
                <w:rFonts w:ascii="Times New Roman" w:eastAsia="Times New Roman" w:hAnsi="Times New Roman" w:cs="Times New Roman"/>
                <w:kern w:val="0"/>
                <w:sz w:val="20"/>
                <w:szCs w:val="20"/>
                <w14:ligatures w14:val="none"/>
              </w:rPr>
              <w:t>0.513 nmol/L per min</w:t>
            </w:r>
          </w:p>
        </w:tc>
        <w:tc>
          <w:tcPr>
            <w:tcW w:w="0" w:type="auto"/>
            <w:vAlign w:val="center"/>
            <w:hideMark/>
          </w:tcPr>
          <w:p w14:paraId="6AE8CD6B" w14:textId="77777777" w:rsidR="009C1363" w:rsidRPr="009C1363" w:rsidRDefault="009C1363" w:rsidP="009C1363">
            <w:pPr>
              <w:spacing w:after="0" w:line="240" w:lineRule="auto"/>
              <w:rPr>
                <w:rFonts w:ascii="Times New Roman" w:eastAsia="Times New Roman" w:hAnsi="Times New Roman" w:cs="Times New Roman"/>
                <w:kern w:val="0"/>
                <w:sz w:val="20"/>
                <w:szCs w:val="20"/>
                <w14:ligatures w14:val="none"/>
              </w:rPr>
            </w:pPr>
            <w:r w:rsidRPr="009C1363">
              <w:rPr>
                <w:rFonts w:ascii="Times New Roman" w:eastAsia="Times New Roman" w:hAnsi="Times New Roman" w:cs="Times New Roman"/>
                <w:kern w:val="0"/>
                <w:sz w:val="20"/>
                <w:szCs w:val="20"/>
                <w14:ligatures w14:val="none"/>
              </w:rPr>
              <w:t>0.102 (0.021–0.183)</w:t>
            </w:r>
          </w:p>
        </w:tc>
        <w:tc>
          <w:tcPr>
            <w:tcW w:w="0" w:type="auto"/>
            <w:vAlign w:val="center"/>
            <w:hideMark/>
          </w:tcPr>
          <w:p w14:paraId="001D76D7" w14:textId="77777777" w:rsidR="009C1363" w:rsidRPr="009C1363" w:rsidRDefault="009C1363" w:rsidP="009C1363">
            <w:pPr>
              <w:spacing w:after="0" w:line="240" w:lineRule="auto"/>
              <w:rPr>
                <w:rFonts w:ascii="Times New Roman" w:eastAsia="Times New Roman" w:hAnsi="Times New Roman" w:cs="Times New Roman"/>
                <w:kern w:val="0"/>
                <w:sz w:val="20"/>
                <w:szCs w:val="20"/>
                <w14:ligatures w14:val="none"/>
              </w:rPr>
            </w:pPr>
            <w:r w:rsidRPr="009C1363">
              <w:rPr>
                <w:rFonts w:ascii="Times New Roman" w:eastAsia="Times New Roman" w:hAnsi="Times New Roman" w:cs="Times New Roman"/>
                <w:b/>
                <w:bCs/>
                <w:kern w:val="0"/>
                <w:sz w:val="20"/>
                <w:szCs w:val="20"/>
                <w14:ligatures w14:val="none"/>
              </w:rPr>
              <w:t>0.014</w:t>
            </w:r>
          </w:p>
        </w:tc>
      </w:tr>
    </w:tbl>
    <w:p w14:paraId="03F58912" w14:textId="77777777" w:rsidR="009C1363" w:rsidRPr="009C1363" w:rsidRDefault="009C1363" w:rsidP="009C1363">
      <w:pPr>
        <w:spacing w:after="0" w:line="240" w:lineRule="auto"/>
        <w:rPr>
          <w:rFonts w:ascii="Times New Roman" w:eastAsia="Times New Roman" w:hAnsi="Times New Roman" w:cs="Times New Roman"/>
          <w:color w:val="1F1F1F"/>
          <w:kern w:val="0"/>
          <w:sz w:val="20"/>
          <w:szCs w:val="20"/>
          <w14:ligatures w14:val="none"/>
        </w:rPr>
      </w:pPr>
      <w:r w:rsidRPr="009C1363">
        <w:rPr>
          <w:rFonts w:ascii="Times New Roman" w:eastAsia="Times New Roman" w:hAnsi="Times New Roman" w:cs="Times New Roman"/>
          <w:color w:val="1F1F1F"/>
          <w:kern w:val="0"/>
          <w:sz w:val="20"/>
          <w:szCs w:val="20"/>
          <w14:ligatures w14:val="none"/>
        </w:rPr>
        <w:t>Conditional on the significance of the 2.5 mg/kg dose, the 0.5 mg/kg dose was formally identified as the </w:t>
      </w:r>
      <w:r w:rsidRPr="009C1363">
        <w:rPr>
          <w:rFonts w:ascii="Times New Roman" w:eastAsia="Times New Roman" w:hAnsi="Times New Roman" w:cs="Times New Roman"/>
          <w:b/>
          <w:bCs/>
          <w:color w:val="1F1F1F"/>
          <w:kern w:val="0"/>
          <w:sz w:val="20"/>
          <w:szCs w:val="20"/>
          <w14:ligatures w14:val="none"/>
        </w:rPr>
        <w:t>minimum effective dose</w:t>
      </w:r>
      <w:r w:rsidRPr="009C1363">
        <w:rPr>
          <w:rFonts w:ascii="Times New Roman" w:eastAsia="Times New Roman" w:hAnsi="Times New Roman" w:cs="Times New Roman"/>
          <w:color w:val="1F1F1F"/>
          <w:kern w:val="0"/>
          <w:sz w:val="20"/>
          <w:szCs w:val="20"/>
          <w14:ligatures w14:val="none"/>
        </w:rPr>
        <w:t>. A post-hoc analysis using a quantitative response C-peptide metric, which adjusts for baseline C-peptide and age, confirmed these findings.</w:t>
      </w:r>
    </w:p>
    <w:p w14:paraId="7D9817D1" w14:textId="77777777" w:rsidR="009C1363" w:rsidRPr="009C1363" w:rsidRDefault="009C1363" w:rsidP="009C1363">
      <w:pPr>
        <w:spacing w:after="0" w:line="240" w:lineRule="auto"/>
        <w:rPr>
          <w:rFonts w:ascii="Times New Roman" w:eastAsia="Times New Roman" w:hAnsi="Times New Roman" w:cs="Times New Roman"/>
          <w:color w:val="1F1F1F"/>
          <w:kern w:val="0"/>
          <w:sz w:val="20"/>
          <w:szCs w:val="20"/>
          <w14:ligatures w14:val="none"/>
        </w:rPr>
      </w:pPr>
      <w:r w:rsidRPr="009C1363">
        <w:rPr>
          <w:rFonts w:ascii="Times New Roman" w:eastAsia="Times New Roman" w:hAnsi="Times New Roman" w:cs="Times New Roman"/>
          <w:color w:val="1F1F1F"/>
          <w:kern w:val="0"/>
          <w:sz w:val="20"/>
          <w:szCs w:val="20"/>
          <w14:ligatures w14:val="none"/>
        </w:rPr>
        <w:t>Metabolic Control</w:t>
      </w:r>
    </w:p>
    <w:p w14:paraId="4ED6A142" w14:textId="77777777" w:rsidR="009C1363" w:rsidRPr="009C1363" w:rsidRDefault="009C1363" w:rsidP="009C1363">
      <w:pPr>
        <w:spacing w:after="0" w:line="240" w:lineRule="auto"/>
        <w:rPr>
          <w:rFonts w:ascii="Times New Roman" w:eastAsia="Times New Roman" w:hAnsi="Times New Roman" w:cs="Times New Roman"/>
          <w:color w:val="1F1F1F"/>
          <w:kern w:val="0"/>
          <w:sz w:val="20"/>
          <w:szCs w:val="20"/>
          <w14:ligatures w14:val="none"/>
        </w:rPr>
      </w:pPr>
      <w:r w:rsidRPr="009C1363">
        <w:rPr>
          <w:rFonts w:ascii="Times New Roman" w:eastAsia="Times New Roman" w:hAnsi="Times New Roman" w:cs="Times New Roman"/>
          <w:color w:val="1F1F1F"/>
          <w:kern w:val="0"/>
          <w:sz w:val="20"/>
          <w:szCs w:val="20"/>
          <w14:ligatures w14:val="none"/>
        </w:rPr>
        <w:t>While both doses preserved C-peptide, the 0.5 mg/kg dose showed a statistically significant benefit in glycemic control as measured by HbA1c.</w:t>
      </w:r>
    </w:p>
    <w:p w14:paraId="1AF52F21" w14:textId="77777777" w:rsidR="009C1363" w:rsidRPr="009C1363" w:rsidRDefault="009C1363" w:rsidP="009C1363">
      <w:pPr>
        <w:spacing w:after="0" w:line="240" w:lineRule="auto"/>
        <w:rPr>
          <w:rFonts w:ascii="Times New Roman" w:eastAsia="Times New Roman" w:hAnsi="Times New Roman" w:cs="Times New Roman"/>
          <w:color w:val="1F1F1F"/>
          <w:kern w:val="0"/>
          <w:sz w:val="20"/>
          <w:szCs w:val="20"/>
          <w14:ligatures w14:val="none"/>
        </w:rPr>
      </w:pPr>
      <w:r w:rsidRPr="009C1363">
        <w:rPr>
          <w:rFonts w:ascii="Times New Roman" w:eastAsia="Times New Roman" w:hAnsi="Times New Roman" w:cs="Times New Roman"/>
          <w:color w:val="1F1F1F"/>
          <w:kern w:val="0"/>
          <w:sz w:val="20"/>
          <w:szCs w:val="20"/>
          <w14:ligatures w14:val="none"/>
        </w:rPr>
        <w:t>• </w:t>
      </w:r>
      <w:r w:rsidRPr="009C1363">
        <w:rPr>
          <w:rFonts w:ascii="Times New Roman" w:eastAsia="Times New Roman" w:hAnsi="Times New Roman" w:cs="Times New Roman"/>
          <w:b/>
          <w:bCs/>
          <w:color w:val="1F1F1F"/>
          <w:kern w:val="0"/>
          <w:sz w:val="20"/>
          <w:szCs w:val="20"/>
          <w14:ligatures w14:val="none"/>
        </w:rPr>
        <w:t>HbA1c:</w:t>
      </w:r>
      <w:r w:rsidRPr="009C1363">
        <w:rPr>
          <w:rFonts w:ascii="Times New Roman" w:eastAsia="Times New Roman" w:hAnsi="Times New Roman" w:cs="Times New Roman"/>
          <w:color w:val="1F1F1F"/>
          <w:kern w:val="0"/>
          <w:sz w:val="20"/>
          <w:szCs w:val="20"/>
          <w14:ligatures w14:val="none"/>
        </w:rPr>
        <w:t> At 12 months, the adjusted mean difference in HbA1c compared to placebo was </w:t>
      </w:r>
      <w:r w:rsidRPr="009C1363">
        <w:rPr>
          <w:rFonts w:ascii="Times New Roman" w:eastAsia="Times New Roman" w:hAnsi="Times New Roman" w:cs="Times New Roman"/>
          <w:b/>
          <w:bCs/>
          <w:color w:val="1F1F1F"/>
          <w:kern w:val="0"/>
          <w:sz w:val="20"/>
          <w:szCs w:val="20"/>
          <w14:ligatures w14:val="none"/>
        </w:rPr>
        <w:t>-0.50%</w:t>
      </w:r>
      <w:r w:rsidRPr="009C1363">
        <w:rPr>
          <w:rFonts w:ascii="Times New Roman" w:eastAsia="Times New Roman" w:hAnsi="Times New Roman" w:cs="Times New Roman"/>
          <w:color w:val="1F1F1F"/>
          <w:kern w:val="0"/>
          <w:sz w:val="20"/>
          <w:szCs w:val="20"/>
          <w14:ligatures w14:val="none"/>
        </w:rPr>
        <w:t> for the 0.5 mg/kg group (p=0.024), whereas the difference for the 2.5 mg/kg group was -0.36% (p=0.11), which was not statistically significant.</w:t>
      </w:r>
    </w:p>
    <w:p w14:paraId="4B1DC9C6" w14:textId="77777777" w:rsidR="009C1363" w:rsidRPr="009C1363" w:rsidRDefault="009C1363" w:rsidP="009C1363">
      <w:pPr>
        <w:spacing w:after="0" w:line="240" w:lineRule="auto"/>
        <w:rPr>
          <w:rFonts w:ascii="Times New Roman" w:eastAsia="Times New Roman" w:hAnsi="Times New Roman" w:cs="Times New Roman"/>
          <w:color w:val="1F1F1F"/>
          <w:kern w:val="0"/>
          <w:sz w:val="20"/>
          <w:szCs w:val="20"/>
          <w14:ligatures w14:val="none"/>
        </w:rPr>
      </w:pPr>
      <w:r w:rsidRPr="009C1363">
        <w:rPr>
          <w:rFonts w:ascii="Times New Roman" w:eastAsia="Times New Roman" w:hAnsi="Times New Roman" w:cs="Times New Roman"/>
          <w:color w:val="1F1F1F"/>
          <w:kern w:val="0"/>
          <w:sz w:val="20"/>
          <w:szCs w:val="20"/>
          <w14:ligatures w14:val="none"/>
        </w:rPr>
        <w:t>• </w:t>
      </w:r>
      <w:r w:rsidRPr="009C1363">
        <w:rPr>
          <w:rFonts w:ascii="Times New Roman" w:eastAsia="Times New Roman" w:hAnsi="Times New Roman" w:cs="Times New Roman"/>
          <w:b/>
          <w:bCs/>
          <w:color w:val="1F1F1F"/>
          <w:kern w:val="0"/>
          <w:sz w:val="20"/>
          <w:szCs w:val="20"/>
          <w14:ligatures w14:val="none"/>
        </w:rPr>
        <w:t>Insulin Dose:</w:t>
      </w:r>
      <w:r w:rsidRPr="009C1363">
        <w:rPr>
          <w:rFonts w:ascii="Times New Roman" w:eastAsia="Times New Roman" w:hAnsi="Times New Roman" w:cs="Times New Roman"/>
          <w:color w:val="1F1F1F"/>
          <w:kern w:val="0"/>
          <w:sz w:val="20"/>
          <w:szCs w:val="20"/>
          <w14:ligatures w14:val="none"/>
        </w:rPr>
        <w:t> There were no statistically significant differences in the average daily insulin dose per kg between the ATG groups and the placebo group at 12 months.</w:t>
      </w:r>
    </w:p>
    <w:p w14:paraId="50D28107" w14:textId="77777777" w:rsidR="009C1363" w:rsidRPr="009C1363" w:rsidRDefault="009C1363" w:rsidP="009C1363">
      <w:pPr>
        <w:spacing w:after="0" w:line="240" w:lineRule="auto"/>
        <w:rPr>
          <w:rFonts w:ascii="Times New Roman" w:eastAsia="Times New Roman" w:hAnsi="Times New Roman" w:cs="Times New Roman"/>
          <w:color w:val="1F1F1F"/>
          <w:kern w:val="0"/>
          <w:sz w:val="20"/>
          <w:szCs w:val="20"/>
          <w14:ligatures w14:val="none"/>
        </w:rPr>
      </w:pPr>
      <w:r w:rsidRPr="009C1363">
        <w:rPr>
          <w:rFonts w:ascii="Times New Roman" w:eastAsia="Times New Roman" w:hAnsi="Times New Roman" w:cs="Times New Roman"/>
          <w:color w:val="1F1F1F"/>
          <w:kern w:val="0"/>
          <w:sz w:val="20"/>
          <w:szCs w:val="20"/>
          <w14:ligatures w14:val="none"/>
        </w:rPr>
        <w:t>• </w:t>
      </w:r>
      <w:r w:rsidRPr="009C1363">
        <w:rPr>
          <w:rFonts w:ascii="Times New Roman" w:eastAsia="Times New Roman" w:hAnsi="Times New Roman" w:cs="Times New Roman"/>
          <w:b/>
          <w:bCs/>
          <w:color w:val="1F1F1F"/>
          <w:kern w:val="0"/>
          <w:sz w:val="20"/>
          <w:szCs w:val="20"/>
          <w14:ligatures w14:val="none"/>
        </w:rPr>
        <w:t>CGM Metrics:</w:t>
      </w:r>
      <w:r w:rsidRPr="009C1363">
        <w:rPr>
          <w:rFonts w:ascii="Times New Roman" w:eastAsia="Times New Roman" w:hAnsi="Times New Roman" w:cs="Times New Roman"/>
          <w:color w:val="1F1F1F"/>
          <w:kern w:val="0"/>
          <w:sz w:val="20"/>
          <w:szCs w:val="20"/>
          <w14:ligatures w14:val="none"/>
        </w:rPr>
        <w:t> While not statistically significant, CGM data at 12 months showed a higher mean time in range for both ATG groups (65% for 0.5 mg/kg and 64% for 2.5 mg/kg) compared to the placebo group (58%).</w:t>
      </w:r>
    </w:p>
    <w:p w14:paraId="36ACCA0D" w14:textId="77777777" w:rsidR="009C1363" w:rsidRPr="009C1363" w:rsidRDefault="009C1363" w:rsidP="009C1363">
      <w:pPr>
        <w:spacing w:after="0" w:line="240" w:lineRule="auto"/>
        <w:rPr>
          <w:rFonts w:ascii="Times New Roman" w:eastAsia="Times New Roman" w:hAnsi="Times New Roman" w:cs="Times New Roman"/>
          <w:color w:val="1F1F1F"/>
          <w:kern w:val="0"/>
          <w:sz w:val="20"/>
          <w:szCs w:val="20"/>
          <w14:ligatures w14:val="none"/>
        </w:rPr>
      </w:pPr>
      <w:r w:rsidRPr="009C1363">
        <w:rPr>
          <w:rFonts w:ascii="Times New Roman" w:eastAsia="Times New Roman" w:hAnsi="Times New Roman" w:cs="Times New Roman"/>
          <w:color w:val="1F1F1F"/>
          <w:kern w:val="0"/>
          <w:sz w:val="20"/>
          <w:szCs w:val="20"/>
          <w14:ligatures w14:val="none"/>
        </w:rPr>
        <w:t>4. Safety and Tolerability Profile</w:t>
      </w:r>
    </w:p>
    <w:p w14:paraId="1DD02CC4" w14:textId="77777777" w:rsidR="009C1363" w:rsidRPr="009C1363" w:rsidRDefault="009C1363" w:rsidP="009C1363">
      <w:pPr>
        <w:spacing w:after="0" w:line="240" w:lineRule="auto"/>
        <w:rPr>
          <w:rFonts w:ascii="Times New Roman" w:eastAsia="Times New Roman" w:hAnsi="Times New Roman" w:cs="Times New Roman"/>
          <w:color w:val="1F1F1F"/>
          <w:kern w:val="0"/>
          <w:sz w:val="20"/>
          <w:szCs w:val="20"/>
          <w14:ligatures w14:val="none"/>
        </w:rPr>
      </w:pPr>
      <w:r w:rsidRPr="009C1363">
        <w:rPr>
          <w:rFonts w:ascii="Times New Roman" w:eastAsia="Times New Roman" w:hAnsi="Times New Roman" w:cs="Times New Roman"/>
          <w:color w:val="1F1F1F"/>
          <w:kern w:val="0"/>
          <w:sz w:val="20"/>
          <w:szCs w:val="20"/>
          <w14:ligatures w14:val="none"/>
        </w:rPr>
        <w:t>The safety analysis included all 114 participants who received treatment. While all participants had at least one adverse event, most were mild or moderate (grade 1 or 2). The safety profile of the 0.5 mg/kg dose was notably more favorable than that of the 2.5 mg/kg dose, particularly regarding two known side effects of ATG.</w:t>
      </w:r>
    </w:p>
    <w:p w14:paraId="56521F16" w14:textId="77777777" w:rsidR="009C1363" w:rsidRPr="009C1363" w:rsidRDefault="009C1363" w:rsidP="009C1363">
      <w:pPr>
        <w:spacing w:after="0" w:line="240" w:lineRule="auto"/>
        <w:rPr>
          <w:rFonts w:ascii="Times New Roman" w:eastAsia="Times New Roman" w:hAnsi="Times New Roman" w:cs="Times New Roman"/>
          <w:color w:val="1F1F1F"/>
          <w:kern w:val="0"/>
          <w:sz w:val="20"/>
          <w:szCs w:val="20"/>
          <w14:ligatures w14:val="none"/>
        </w:rPr>
      </w:pPr>
      <w:r w:rsidRPr="009C1363">
        <w:rPr>
          <w:rFonts w:ascii="Times New Roman" w:eastAsia="Times New Roman" w:hAnsi="Times New Roman" w:cs="Times New Roman"/>
          <w:color w:val="1F1F1F"/>
          <w:kern w:val="0"/>
          <w:sz w:val="20"/>
          <w:szCs w:val="20"/>
          <w14:ligatures w14:val="none"/>
        </w:rPr>
        <w:t>Signature Adverse Events of ATG</w:t>
      </w:r>
    </w:p>
    <w:tbl>
      <w:tblPr>
        <w:tblW w:w="0" w:type="auto"/>
        <w:tblCellMar>
          <w:top w:w="15" w:type="dxa"/>
          <w:left w:w="15" w:type="dxa"/>
          <w:bottom w:w="15" w:type="dxa"/>
          <w:right w:w="15" w:type="dxa"/>
        </w:tblCellMar>
        <w:tblLook w:val="04A0" w:firstRow="1" w:lastRow="0" w:firstColumn="1" w:lastColumn="0" w:noHBand="0" w:noVBand="1"/>
      </w:tblPr>
      <w:tblGrid>
        <w:gridCol w:w="2430"/>
        <w:gridCol w:w="1260"/>
        <w:gridCol w:w="1899"/>
        <w:gridCol w:w="1899"/>
      </w:tblGrid>
      <w:tr w:rsidR="009C1363" w:rsidRPr="009C1363" w14:paraId="21DA909A" w14:textId="77777777">
        <w:tc>
          <w:tcPr>
            <w:tcW w:w="0" w:type="auto"/>
            <w:vAlign w:val="center"/>
            <w:hideMark/>
          </w:tcPr>
          <w:p w14:paraId="277F7E90" w14:textId="77777777" w:rsidR="009C1363" w:rsidRPr="009C1363" w:rsidRDefault="009C1363" w:rsidP="009C1363">
            <w:pPr>
              <w:spacing w:after="0" w:line="240" w:lineRule="auto"/>
              <w:rPr>
                <w:rFonts w:ascii="Times New Roman" w:eastAsia="Times New Roman" w:hAnsi="Times New Roman" w:cs="Times New Roman"/>
                <w:kern w:val="0"/>
                <w:sz w:val="20"/>
                <w:szCs w:val="20"/>
                <w14:ligatures w14:val="none"/>
              </w:rPr>
            </w:pPr>
            <w:r w:rsidRPr="009C1363">
              <w:rPr>
                <w:rFonts w:ascii="Times New Roman" w:eastAsia="Times New Roman" w:hAnsi="Times New Roman" w:cs="Times New Roman"/>
                <w:kern w:val="0"/>
                <w:sz w:val="20"/>
                <w:szCs w:val="20"/>
                <w14:ligatures w14:val="none"/>
              </w:rPr>
              <w:t>Adverse Event</w:t>
            </w:r>
          </w:p>
        </w:tc>
        <w:tc>
          <w:tcPr>
            <w:tcW w:w="0" w:type="auto"/>
            <w:vAlign w:val="center"/>
            <w:hideMark/>
          </w:tcPr>
          <w:p w14:paraId="61271F8B" w14:textId="77777777" w:rsidR="009C1363" w:rsidRPr="009C1363" w:rsidRDefault="009C1363" w:rsidP="009C1363">
            <w:pPr>
              <w:spacing w:after="0" w:line="240" w:lineRule="auto"/>
              <w:rPr>
                <w:rFonts w:ascii="Times New Roman" w:eastAsia="Times New Roman" w:hAnsi="Times New Roman" w:cs="Times New Roman"/>
                <w:kern w:val="0"/>
                <w:sz w:val="20"/>
                <w:szCs w:val="20"/>
                <w14:ligatures w14:val="none"/>
              </w:rPr>
            </w:pPr>
            <w:r w:rsidRPr="009C1363">
              <w:rPr>
                <w:rFonts w:ascii="Times New Roman" w:eastAsia="Times New Roman" w:hAnsi="Times New Roman" w:cs="Times New Roman"/>
                <w:kern w:val="0"/>
                <w:sz w:val="20"/>
                <w:szCs w:val="20"/>
                <w14:ligatures w14:val="none"/>
              </w:rPr>
              <w:t>Placebo (n=30)</w:t>
            </w:r>
          </w:p>
        </w:tc>
        <w:tc>
          <w:tcPr>
            <w:tcW w:w="0" w:type="auto"/>
            <w:vAlign w:val="center"/>
            <w:hideMark/>
          </w:tcPr>
          <w:p w14:paraId="34F21168" w14:textId="77777777" w:rsidR="009C1363" w:rsidRPr="009C1363" w:rsidRDefault="009C1363" w:rsidP="009C1363">
            <w:pPr>
              <w:spacing w:after="0" w:line="240" w:lineRule="auto"/>
              <w:rPr>
                <w:rFonts w:ascii="Times New Roman" w:eastAsia="Times New Roman" w:hAnsi="Times New Roman" w:cs="Times New Roman"/>
                <w:kern w:val="0"/>
                <w:sz w:val="20"/>
                <w:szCs w:val="20"/>
                <w14:ligatures w14:val="none"/>
              </w:rPr>
            </w:pPr>
            <w:r w:rsidRPr="009C1363">
              <w:rPr>
                <w:rFonts w:ascii="Times New Roman" w:eastAsia="Times New Roman" w:hAnsi="Times New Roman" w:cs="Times New Roman"/>
                <w:kern w:val="0"/>
                <w:sz w:val="20"/>
                <w:szCs w:val="20"/>
                <w14:ligatures w14:val="none"/>
              </w:rPr>
              <w:t>0.5 mg/kg ATG (n=34)</w:t>
            </w:r>
          </w:p>
        </w:tc>
        <w:tc>
          <w:tcPr>
            <w:tcW w:w="0" w:type="auto"/>
            <w:vAlign w:val="center"/>
            <w:hideMark/>
          </w:tcPr>
          <w:p w14:paraId="45928A90" w14:textId="77777777" w:rsidR="009C1363" w:rsidRPr="009C1363" w:rsidRDefault="009C1363" w:rsidP="009C1363">
            <w:pPr>
              <w:spacing w:after="0" w:line="240" w:lineRule="auto"/>
              <w:rPr>
                <w:rFonts w:ascii="Times New Roman" w:eastAsia="Times New Roman" w:hAnsi="Times New Roman" w:cs="Times New Roman"/>
                <w:kern w:val="0"/>
                <w:sz w:val="20"/>
                <w:szCs w:val="20"/>
                <w14:ligatures w14:val="none"/>
              </w:rPr>
            </w:pPr>
            <w:r w:rsidRPr="009C1363">
              <w:rPr>
                <w:rFonts w:ascii="Times New Roman" w:eastAsia="Times New Roman" w:hAnsi="Times New Roman" w:cs="Times New Roman"/>
                <w:kern w:val="0"/>
                <w:sz w:val="20"/>
                <w:szCs w:val="20"/>
                <w14:ligatures w14:val="none"/>
              </w:rPr>
              <w:t>2.5 mg/kg ATG (n=33)</w:t>
            </w:r>
          </w:p>
        </w:tc>
      </w:tr>
      <w:tr w:rsidR="009C1363" w:rsidRPr="009C1363" w14:paraId="4A779EA0" w14:textId="77777777">
        <w:tc>
          <w:tcPr>
            <w:tcW w:w="0" w:type="auto"/>
            <w:vAlign w:val="center"/>
            <w:hideMark/>
          </w:tcPr>
          <w:p w14:paraId="58EA3910" w14:textId="77777777" w:rsidR="009C1363" w:rsidRPr="009C1363" w:rsidRDefault="009C1363" w:rsidP="009C1363">
            <w:pPr>
              <w:spacing w:after="0" w:line="240" w:lineRule="auto"/>
              <w:rPr>
                <w:rFonts w:ascii="Times New Roman" w:eastAsia="Times New Roman" w:hAnsi="Times New Roman" w:cs="Times New Roman"/>
                <w:kern w:val="0"/>
                <w:sz w:val="20"/>
                <w:szCs w:val="20"/>
                <w14:ligatures w14:val="none"/>
              </w:rPr>
            </w:pPr>
            <w:r w:rsidRPr="009C1363">
              <w:rPr>
                <w:rFonts w:ascii="Times New Roman" w:eastAsia="Times New Roman" w:hAnsi="Times New Roman" w:cs="Times New Roman"/>
                <w:b/>
                <w:bCs/>
                <w:kern w:val="0"/>
                <w:sz w:val="20"/>
                <w:szCs w:val="20"/>
                <w14:ligatures w14:val="none"/>
              </w:rPr>
              <w:t>Serum Sickness</w:t>
            </w:r>
          </w:p>
        </w:tc>
        <w:tc>
          <w:tcPr>
            <w:tcW w:w="0" w:type="auto"/>
            <w:vAlign w:val="center"/>
            <w:hideMark/>
          </w:tcPr>
          <w:p w14:paraId="2C9C01D7" w14:textId="77777777" w:rsidR="009C1363" w:rsidRPr="009C1363" w:rsidRDefault="009C1363" w:rsidP="009C1363">
            <w:pPr>
              <w:spacing w:after="0" w:line="240" w:lineRule="auto"/>
              <w:rPr>
                <w:rFonts w:ascii="Times New Roman" w:eastAsia="Times New Roman" w:hAnsi="Times New Roman" w:cs="Times New Roman"/>
                <w:kern w:val="0"/>
                <w:sz w:val="20"/>
                <w:szCs w:val="20"/>
                <w14:ligatures w14:val="none"/>
              </w:rPr>
            </w:pPr>
            <w:r w:rsidRPr="009C1363">
              <w:rPr>
                <w:rFonts w:ascii="Times New Roman" w:eastAsia="Times New Roman" w:hAnsi="Times New Roman" w:cs="Times New Roman"/>
                <w:kern w:val="0"/>
                <w:sz w:val="20"/>
                <w:szCs w:val="20"/>
                <w14:ligatures w14:val="none"/>
              </w:rPr>
              <w:t>0 (0%)</w:t>
            </w:r>
          </w:p>
        </w:tc>
        <w:tc>
          <w:tcPr>
            <w:tcW w:w="0" w:type="auto"/>
            <w:vAlign w:val="center"/>
            <w:hideMark/>
          </w:tcPr>
          <w:p w14:paraId="77FF6593" w14:textId="77777777" w:rsidR="009C1363" w:rsidRPr="009C1363" w:rsidRDefault="009C1363" w:rsidP="009C1363">
            <w:pPr>
              <w:spacing w:after="0" w:line="240" w:lineRule="auto"/>
              <w:rPr>
                <w:rFonts w:ascii="Times New Roman" w:eastAsia="Times New Roman" w:hAnsi="Times New Roman" w:cs="Times New Roman"/>
                <w:kern w:val="0"/>
                <w:sz w:val="20"/>
                <w:szCs w:val="20"/>
                <w14:ligatures w14:val="none"/>
              </w:rPr>
            </w:pPr>
            <w:r w:rsidRPr="009C1363">
              <w:rPr>
                <w:rFonts w:ascii="Times New Roman" w:eastAsia="Times New Roman" w:hAnsi="Times New Roman" w:cs="Times New Roman"/>
                <w:kern w:val="0"/>
                <w:sz w:val="20"/>
                <w:szCs w:val="20"/>
                <w14:ligatures w14:val="none"/>
              </w:rPr>
              <w:t>11 (32%)</w:t>
            </w:r>
          </w:p>
        </w:tc>
        <w:tc>
          <w:tcPr>
            <w:tcW w:w="0" w:type="auto"/>
            <w:vAlign w:val="center"/>
            <w:hideMark/>
          </w:tcPr>
          <w:p w14:paraId="1BE8BBC1" w14:textId="77777777" w:rsidR="009C1363" w:rsidRPr="009C1363" w:rsidRDefault="009C1363" w:rsidP="009C1363">
            <w:pPr>
              <w:spacing w:after="0" w:line="240" w:lineRule="auto"/>
              <w:rPr>
                <w:rFonts w:ascii="Times New Roman" w:eastAsia="Times New Roman" w:hAnsi="Times New Roman" w:cs="Times New Roman"/>
                <w:kern w:val="0"/>
                <w:sz w:val="20"/>
                <w:szCs w:val="20"/>
                <w14:ligatures w14:val="none"/>
              </w:rPr>
            </w:pPr>
            <w:r w:rsidRPr="009C1363">
              <w:rPr>
                <w:rFonts w:ascii="Times New Roman" w:eastAsia="Times New Roman" w:hAnsi="Times New Roman" w:cs="Times New Roman"/>
                <w:kern w:val="0"/>
                <w:sz w:val="20"/>
                <w:szCs w:val="20"/>
                <w14:ligatures w14:val="none"/>
              </w:rPr>
              <w:t>27 (82%)</w:t>
            </w:r>
          </w:p>
        </w:tc>
      </w:tr>
      <w:tr w:rsidR="009C1363" w:rsidRPr="009C1363" w14:paraId="61DFC8C6" w14:textId="77777777">
        <w:tc>
          <w:tcPr>
            <w:tcW w:w="0" w:type="auto"/>
            <w:vAlign w:val="center"/>
            <w:hideMark/>
          </w:tcPr>
          <w:p w14:paraId="6A0D2CD9" w14:textId="77777777" w:rsidR="009C1363" w:rsidRPr="009C1363" w:rsidRDefault="009C1363" w:rsidP="009C1363">
            <w:pPr>
              <w:spacing w:after="0" w:line="240" w:lineRule="auto"/>
              <w:rPr>
                <w:rFonts w:ascii="Times New Roman" w:eastAsia="Times New Roman" w:hAnsi="Times New Roman" w:cs="Times New Roman"/>
                <w:kern w:val="0"/>
                <w:sz w:val="20"/>
                <w:szCs w:val="20"/>
                <w14:ligatures w14:val="none"/>
              </w:rPr>
            </w:pPr>
            <w:r w:rsidRPr="009C1363">
              <w:rPr>
                <w:rFonts w:ascii="Times New Roman" w:eastAsia="Times New Roman" w:hAnsi="Times New Roman" w:cs="Times New Roman"/>
                <w:b/>
                <w:bCs/>
                <w:kern w:val="0"/>
                <w:sz w:val="20"/>
                <w:szCs w:val="20"/>
                <w14:ligatures w14:val="none"/>
              </w:rPr>
              <w:t>Cytokine Release Syndrome</w:t>
            </w:r>
          </w:p>
        </w:tc>
        <w:tc>
          <w:tcPr>
            <w:tcW w:w="0" w:type="auto"/>
            <w:vAlign w:val="center"/>
            <w:hideMark/>
          </w:tcPr>
          <w:p w14:paraId="167E810A" w14:textId="77777777" w:rsidR="009C1363" w:rsidRPr="009C1363" w:rsidRDefault="009C1363" w:rsidP="009C1363">
            <w:pPr>
              <w:spacing w:after="0" w:line="240" w:lineRule="auto"/>
              <w:rPr>
                <w:rFonts w:ascii="Times New Roman" w:eastAsia="Times New Roman" w:hAnsi="Times New Roman" w:cs="Times New Roman"/>
                <w:kern w:val="0"/>
                <w:sz w:val="20"/>
                <w:szCs w:val="20"/>
                <w14:ligatures w14:val="none"/>
              </w:rPr>
            </w:pPr>
            <w:r w:rsidRPr="009C1363">
              <w:rPr>
                <w:rFonts w:ascii="Times New Roman" w:eastAsia="Times New Roman" w:hAnsi="Times New Roman" w:cs="Times New Roman"/>
                <w:kern w:val="0"/>
                <w:sz w:val="20"/>
                <w:szCs w:val="20"/>
                <w14:ligatures w14:val="none"/>
              </w:rPr>
              <w:t>0 (0%)</w:t>
            </w:r>
          </w:p>
        </w:tc>
        <w:tc>
          <w:tcPr>
            <w:tcW w:w="0" w:type="auto"/>
            <w:vAlign w:val="center"/>
            <w:hideMark/>
          </w:tcPr>
          <w:p w14:paraId="0E2907F2" w14:textId="77777777" w:rsidR="009C1363" w:rsidRPr="009C1363" w:rsidRDefault="009C1363" w:rsidP="009C1363">
            <w:pPr>
              <w:spacing w:after="0" w:line="240" w:lineRule="auto"/>
              <w:rPr>
                <w:rFonts w:ascii="Times New Roman" w:eastAsia="Times New Roman" w:hAnsi="Times New Roman" w:cs="Times New Roman"/>
                <w:kern w:val="0"/>
                <w:sz w:val="20"/>
                <w:szCs w:val="20"/>
                <w14:ligatures w14:val="none"/>
              </w:rPr>
            </w:pPr>
            <w:r w:rsidRPr="009C1363">
              <w:rPr>
                <w:rFonts w:ascii="Times New Roman" w:eastAsia="Times New Roman" w:hAnsi="Times New Roman" w:cs="Times New Roman"/>
                <w:kern w:val="0"/>
                <w:sz w:val="20"/>
                <w:szCs w:val="20"/>
                <w14:ligatures w14:val="none"/>
              </w:rPr>
              <w:t>8 (24%)</w:t>
            </w:r>
          </w:p>
        </w:tc>
        <w:tc>
          <w:tcPr>
            <w:tcW w:w="0" w:type="auto"/>
            <w:vAlign w:val="center"/>
            <w:hideMark/>
          </w:tcPr>
          <w:p w14:paraId="572281F0" w14:textId="77777777" w:rsidR="009C1363" w:rsidRPr="009C1363" w:rsidRDefault="009C1363" w:rsidP="009C1363">
            <w:pPr>
              <w:spacing w:after="0" w:line="240" w:lineRule="auto"/>
              <w:rPr>
                <w:rFonts w:ascii="Times New Roman" w:eastAsia="Times New Roman" w:hAnsi="Times New Roman" w:cs="Times New Roman"/>
                <w:kern w:val="0"/>
                <w:sz w:val="20"/>
                <w:szCs w:val="20"/>
                <w14:ligatures w14:val="none"/>
              </w:rPr>
            </w:pPr>
            <w:r w:rsidRPr="009C1363">
              <w:rPr>
                <w:rFonts w:ascii="Times New Roman" w:eastAsia="Times New Roman" w:hAnsi="Times New Roman" w:cs="Times New Roman"/>
                <w:kern w:val="0"/>
                <w:sz w:val="20"/>
                <w:szCs w:val="20"/>
                <w14:ligatures w14:val="none"/>
              </w:rPr>
              <w:t>11 (33%)</w:t>
            </w:r>
          </w:p>
        </w:tc>
      </w:tr>
    </w:tbl>
    <w:p w14:paraId="6126460B" w14:textId="77777777" w:rsidR="009C1363" w:rsidRPr="009C1363" w:rsidRDefault="009C1363" w:rsidP="009C1363">
      <w:pPr>
        <w:spacing w:after="0" w:line="240" w:lineRule="auto"/>
        <w:rPr>
          <w:rFonts w:ascii="Times New Roman" w:eastAsia="Times New Roman" w:hAnsi="Times New Roman" w:cs="Times New Roman"/>
          <w:color w:val="1F1F1F"/>
          <w:kern w:val="0"/>
          <w:sz w:val="20"/>
          <w:szCs w:val="20"/>
          <w14:ligatures w14:val="none"/>
        </w:rPr>
      </w:pPr>
      <w:r w:rsidRPr="009C1363">
        <w:rPr>
          <w:rFonts w:ascii="Times New Roman" w:eastAsia="Times New Roman" w:hAnsi="Times New Roman" w:cs="Times New Roman"/>
          <w:color w:val="1F1F1F"/>
          <w:kern w:val="0"/>
          <w:sz w:val="20"/>
          <w:szCs w:val="20"/>
          <w14:ligatures w14:val="none"/>
        </w:rPr>
        <w:t>• </w:t>
      </w:r>
      <w:r w:rsidRPr="009C1363">
        <w:rPr>
          <w:rFonts w:ascii="Times New Roman" w:eastAsia="Times New Roman" w:hAnsi="Times New Roman" w:cs="Times New Roman"/>
          <w:b/>
          <w:bCs/>
          <w:color w:val="1F1F1F"/>
          <w:kern w:val="0"/>
          <w:sz w:val="20"/>
          <w:szCs w:val="20"/>
          <w14:ligatures w14:val="none"/>
        </w:rPr>
        <w:t>Serum Sickness:</w:t>
      </w:r>
      <w:r w:rsidRPr="009C1363">
        <w:rPr>
          <w:rFonts w:ascii="Times New Roman" w:eastAsia="Times New Roman" w:hAnsi="Times New Roman" w:cs="Times New Roman"/>
          <w:color w:val="1F1F1F"/>
          <w:kern w:val="0"/>
          <w:sz w:val="20"/>
          <w:szCs w:val="20"/>
          <w14:ligatures w14:val="none"/>
        </w:rPr>
        <w:t> A reaction to the non-human antibodies, was significantly more prevalent in the higher-dose group.</w:t>
      </w:r>
    </w:p>
    <w:p w14:paraId="145A0657" w14:textId="77777777" w:rsidR="009C1363" w:rsidRPr="009C1363" w:rsidRDefault="009C1363" w:rsidP="009C1363">
      <w:pPr>
        <w:spacing w:after="0" w:line="240" w:lineRule="auto"/>
        <w:rPr>
          <w:rFonts w:ascii="Times New Roman" w:eastAsia="Times New Roman" w:hAnsi="Times New Roman" w:cs="Times New Roman"/>
          <w:color w:val="1F1F1F"/>
          <w:kern w:val="0"/>
          <w:sz w:val="20"/>
          <w:szCs w:val="20"/>
          <w14:ligatures w14:val="none"/>
        </w:rPr>
      </w:pPr>
      <w:r w:rsidRPr="009C1363">
        <w:rPr>
          <w:rFonts w:ascii="Times New Roman" w:eastAsia="Times New Roman" w:hAnsi="Times New Roman" w:cs="Times New Roman"/>
          <w:color w:val="1F1F1F"/>
          <w:kern w:val="0"/>
          <w:sz w:val="20"/>
          <w:szCs w:val="20"/>
          <w14:ligatures w14:val="none"/>
        </w:rPr>
        <w:t>• </w:t>
      </w:r>
      <w:r w:rsidRPr="009C1363">
        <w:rPr>
          <w:rFonts w:ascii="Times New Roman" w:eastAsia="Times New Roman" w:hAnsi="Times New Roman" w:cs="Times New Roman"/>
          <w:b/>
          <w:bCs/>
          <w:color w:val="1F1F1F"/>
          <w:kern w:val="0"/>
          <w:sz w:val="20"/>
          <w:szCs w:val="20"/>
          <w14:ligatures w14:val="none"/>
        </w:rPr>
        <w:t>Cytokine Release Syndrome:</w:t>
      </w:r>
      <w:r w:rsidRPr="009C1363">
        <w:rPr>
          <w:rFonts w:ascii="Times New Roman" w:eastAsia="Times New Roman" w:hAnsi="Times New Roman" w:cs="Times New Roman"/>
          <w:color w:val="1F1F1F"/>
          <w:kern w:val="0"/>
          <w:sz w:val="20"/>
          <w:szCs w:val="20"/>
          <w14:ligatures w14:val="none"/>
        </w:rPr>
        <w:t> Characterized by fever and other symptoms upon infusion, occurred at a slightly lower rate in the 0.5 mg/kg group. This was likely because both groups received 0.5 mg/kg on day 1 of the infusion, with the 2.5 mg/kg group receiving the remaining 2.0 mg/kg on day 2.</w:t>
      </w:r>
    </w:p>
    <w:p w14:paraId="5CB1F21F" w14:textId="77777777" w:rsidR="009C1363" w:rsidRPr="009C1363" w:rsidRDefault="009C1363" w:rsidP="009C1363">
      <w:pPr>
        <w:spacing w:after="0" w:line="240" w:lineRule="auto"/>
        <w:rPr>
          <w:rFonts w:ascii="Times New Roman" w:eastAsia="Times New Roman" w:hAnsi="Times New Roman" w:cs="Times New Roman"/>
          <w:color w:val="1F1F1F"/>
          <w:kern w:val="0"/>
          <w:sz w:val="20"/>
          <w:szCs w:val="20"/>
          <w14:ligatures w14:val="none"/>
        </w:rPr>
      </w:pPr>
      <w:r w:rsidRPr="009C1363">
        <w:rPr>
          <w:rFonts w:ascii="Times New Roman" w:eastAsia="Times New Roman" w:hAnsi="Times New Roman" w:cs="Times New Roman"/>
          <w:color w:val="1F1F1F"/>
          <w:kern w:val="0"/>
          <w:sz w:val="20"/>
          <w:szCs w:val="20"/>
          <w14:ligatures w14:val="none"/>
        </w:rPr>
        <w:t>Other Safety Data</w:t>
      </w:r>
    </w:p>
    <w:p w14:paraId="31A28A25" w14:textId="77777777" w:rsidR="009C1363" w:rsidRPr="009C1363" w:rsidRDefault="009C1363" w:rsidP="009C1363">
      <w:pPr>
        <w:spacing w:after="0" w:line="240" w:lineRule="auto"/>
        <w:rPr>
          <w:rFonts w:ascii="Times New Roman" w:eastAsia="Times New Roman" w:hAnsi="Times New Roman" w:cs="Times New Roman"/>
          <w:color w:val="1F1F1F"/>
          <w:kern w:val="0"/>
          <w:sz w:val="20"/>
          <w:szCs w:val="20"/>
          <w14:ligatures w14:val="none"/>
        </w:rPr>
      </w:pPr>
      <w:r w:rsidRPr="009C1363">
        <w:rPr>
          <w:rFonts w:ascii="Times New Roman" w:eastAsia="Times New Roman" w:hAnsi="Times New Roman" w:cs="Times New Roman"/>
          <w:color w:val="1F1F1F"/>
          <w:kern w:val="0"/>
          <w:sz w:val="20"/>
          <w:szCs w:val="20"/>
          <w14:ligatures w14:val="none"/>
        </w:rPr>
        <w:t>• </w:t>
      </w:r>
      <w:r w:rsidRPr="009C1363">
        <w:rPr>
          <w:rFonts w:ascii="Times New Roman" w:eastAsia="Times New Roman" w:hAnsi="Times New Roman" w:cs="Times New Roman"/>
          <w:b/>
          <w:bCs/>
          <w:color w:val="1F1F1F"/>
          <w:kern w:val="0"/>
          <w:sz w:val="20"/>
          <w:szCs w:val="20"/>
          <w14:ligatures w14:val="none"/>
        </w:rPr>
        <w:t>Severe Adverse Events (Grade 3):</w:t>
      </w:r>
      <w:r w:rsidRPr="009C1363">
        <w:rPr>
          <w:rFonts w:ascii="Times New Roman" w:eastAsia="Times New Roman" w:hAnsi="Times New Roman" w:cs="Times New Roman"/>
          <w:color w:val="1F1F1F"/>
          <w:kern w:val="0"/>
          <w:sz w:val="20"/>
          <w:szCs w:val="20"/>
          <w14:ligatures w14:val="none"/>
        </w:rPr>
        <w:t> Occurred in 9% of the 0.5 mg/kg group and 12% of the 2.5 mg/kg group.</w:t>
      </w:r>
    </w:p>
    <w:p w14:paraId="439A8316" w14:textId="77777777" w:rsidR="009C1363" w:rsidRPr="009C1363" w:rsidRDefault="009C1363" w:rsidP="009C1363">
      <w:pPr>
        <w:spacing w:after="0" w:line="240" w:lineRule="auto"/>
        <w:rPr>
          <w:rFonts w:ascii="Times New Roman" w:eastAsia="Times New Roman" w:hAnsi="Times New Roman" w:cs="Times New Roman"/>
          <w:color w:val="1F1F1F"/>
          <w:kern w:val="0"/>
          <w:sz w:val="20"/>
          <w:szCs w:val="20"/>
          <w14:ligatures w14:val="none"/>
        </w:rPr>
      </w:pPr>
      <w:r w:rsidRPr="009C1363">
        <w:rPr>
          <w:rFonts w:ascii="Times New Roman" w:eastAsia="Times New Roman" w:hAnsi="Times New Roman" w:cs="Times New Roman"/>
          <w:color w:val="1F1F1F"/>
          <w:kern w:val="0"/>
          <w:sz w:val="20"/>
          <w:szCs w:val="20"/>
          <w14:ligatures w14:val="none"/>
        </w:rPr>
        <w:t>• </w:t>
      </w:r>
      <w:r w:rsidRPr="009C1363">
        <w:rPr>
          <w:rFonts w:ascii="Times New Roman" w:eastAsia="Times New Roman" w:hAnsi="Times New Roman" w:cs="Times New Roman"/>
          <w:b/>
          <w:bCs/>
          <w:color w:val="1F1F1F"/>
          <w:kern w:val="0"/>
          <w:sz w:val="20"/>
          <w:szCs w:val="20"/>
          <w14:ligatures w14:val="none"/>
        </w:rPr>
        <w:t>Lymphopenia:</w:t>
      </w:r>
      <w:r w:rsidRPr="009C1363">
        <w:rPr>
          <w:rFonts w:ascii="Times New Roman" w:eastAsia="Times New Roman" w:hAnsi="Times New Roman" w:cs="Times New Roman"/>
          <w:color w:val="1F1F1F"/>
          <w:kern w:val="0"/>
          <w:sz w:val="20"/>
          <w:szCs w:val="20"/>
          <w14:ligatures w14:val="none"/>
        </w:rPr>
        <w:t> Occurred in 35% of the 0.5 mg/kg group and 42% of the 2.5 mg/kg group, but infection rates were not different between the groups.</w:t>
      </w:r>
    </w:p>
    <w:p w14:paraId="19A3AE13" w14:textId="77777777" w:rsidR="009C1363" w:rsidRPr="009C1363" w:rsidRDefault="009C1363" w:rsidP="009C1363">
      <w:pPr>
        <w:spacing w:after="0" w:line="240" w:lineRule="auto"/>
        <w:rPr>
          <w:rFonts w:ascii="Times New Roman" w:eastAsia="Times New Roman" w:hAnsi="Times New Roman" w:cs="Times New Roman"/>
          <w:color w:val="1F1F1F"/>
          <w:kern w:val="0"/>
          <w:sz w:val="20"/>
          <w:szCs w:val="20"/>
          <w14:ligatures w14:val="none"/>
        </w:rPr>
      </w:pPr>
      <w:r w:rsidRPr="009C1363">
        <w:rPr>
          <w:rFonts w:ascii="Times New Roman" w:eastAsia="Times New Roman" w:hAnsi="Times New Roman" w:cs="Times New Roman"/>
          <w:color w:val="1F1F1F"/>
          <w:kern w:val="0"/>
          <w:sz w:val="20"/>
          <w:szCs w:val="20"/>
          <w14:ligatures w14:val="none"/>
        </w:rPr>
        <w:t>• </w:t>
      </w:r>
      <w:r w:rsidRPr="009C1363">
        <w:rPr>
          <w:rFonts w:ascii="Times New Roman" w:eastAsia="Times New Roman" w:hAnsi="Times New Roman" w:cs="Times New Roman"/>
          <w:b/>
          <w:bCs/>
          <w:color w:val="1F1F1F"/>
          <w:kern w:val="0"/>
          <w:sz w:val="20"/>
          <w:szCs w:val="20"/>
          <w14:ligatures w14:val="none"/>
        </w:rPr>
        <w:t>Deaths:</w:t>
      </w:r>
      <w:r w:rsidRPr="009C1363">
        <w:rPr>
          <w:rFonts w:ascii="Times New Roman" w:eastAsia="Times New Roman" w:hAnsi="Times New Roman" w:cs="Times New Roman"/>
          <w:color w:val="1F1F1F"/>
          <w:kern w:val="0"/>
          <w:sz w:val="20"/>
          <w:szCs w:val="20"/>
          <w14:ligatures w14:val="none"/>
        </w:rPr>
        <w:t> There were no deaths related to adverse events.</w:t>
      </w:r>
    </w:p>
    <w:p w14:paraId="3759C287" w14:textId="77777777" w:rsidR="009C1363" w:rsidRPr="009C1363" w:rsidRDefault="009C1363" w:rsidP="009C1363">
      <w:pPr>
        <w:spacing w:after="0" w:line="240" w:lineRule="auto"/>
        <w:rPr>
          <w:rFonts w:ascii="Times New Roman" w:eastAsia="Times New Roman" w:hAnsi="Times New Roman" w:cs="Times New Roman"/>
          <w:color w:val="1F1F1F"/>
          <w:kern w:val="0"/>
          <w:sz w:val="20"/>
          <w:szCs w:val="20"/>
          <w14:ligatures w14:val="none"/>
        </w:rPr>
      </w:pPr>
      <w:r w:rsidRPr="009C1363">
        <w:rPr>
          <w:rFonts w:ascii="Times New Roman" w:eastAsia="Times New Roman" w:hAnsi="Times New Roman" w:cs="Times New Roman"/>
          <w:color w:val="1F1F1F"/>
          <w:kern w:val="0"/>
          <w:sz w:val="20"/>
          <w:szCs w:val="20"/>
          <w14:ligatures w14:val="none"/>
        </w:rPr>
        <w:t>5. Immunological and Mechanistic Insights</w:t>
      </w:r>
    </w:p>
    <w:p w14:paraId="098894A8" w14:textId="77777777" w:rsidR="009C1363" w:rsidRPr="009C1363" w:rsidRDefault="009C1363" w:rsidP="009C1363">
      <w:pPr>
        <w:spacing w:after="0" w:line="240" w:lineRule="auto"/>
        <w:rPr>
          <w:rFonts w:ascii="Times New Roman" w:eastAsia="Times New Roman" w:hAnsi="Times New Roman" w:cs="Times New Roman"/>
          <w:color w:val="1F1F1F"/>
          <w:kern w:val="0"/>
          <w:sz w:val="20"/>
          <w:szCs w:val="20"/>
          <w14:ligatures w14:val="none"/>
        </w:rPr>
      </w:pPr>
      <w:r w:rsidRPr="009C1363">
        <w:rPr>
          <w:rFonts w:ascii="Times New Roman" w:eastAsia="Times New Roman" w:hAnsi="Times New Roman" w:cs="Times New Roman"/>
          <w:color w:val="1F1F1F"/>
          <w:kern w:val="0"/>
          <w:sz w:val="20"/>
          <w:szCs w:val="20"/>
          <w14:ligatures w14:val="none"/>
        </w:rPr>
        <w:lastRenderedPageBreak/>
        <w:t>The study provided important insights into the immunological effects of different ATG doses, suggesting that the mechanism of action may be more complex than simple T-cell depletion.</w:t>
      </w:r>
    </w:p>
    <w:p w14:paraId="57BB9BD0" w14:textId="77777777" w:rsidR="009C1363" w:rsidRPr="009C1363" w:rsidRDefault="009C1363" w:rsidP="009C1363">
      <w:pPr>
        <w:spacing w:after="0" w:line="240" w:lineRule="auto"/>
        <w:rPr>
          <w:rFonts w:ascii="Times New Roman" w:eastAsia="Times New Roman" w:hAnsi="Times New Roman" w:cs="Times New Roman"/>
          <w:color w:val="1F1F1F"/>
          <w:kern w:val="0"/>
          <w:sz w:val="20"/>
          <w:szCs w:val="20"/>
          <w14:ligatures w14:val="none"/>
        </w:rPr>
      </w:pPr>
      <w:r w:rsidRPr="009C1363">
        <w:rPr>
          <w:rFonts w:ascii="Times New Roman" w:eastAsia="Times New Roman" w:hAnsi="Times New Roman" w:cs="Times New Roman"/>
          <w:color w:val="1F1F1F"/>
          <w:kern w:val="0"/>
          <w:sz w:val="20"/>
          <w:szCs w:val="20"/>
          <w14:ligatures w14:val="none"/>
        </w:rPr>
        <w:t>• </w:t>
      </w:r>
      <w:r w:rsidRPr="009C1363">
        <w:rPr>
          <w:rFonts w:ascii="Times New Roman" w:eastAsia="Times New Roman" w:hAnsi="Times New Roman" w:cs="Times New Roman"/>
          <w:b/>
          <w:bCs/>
          <w:color w:val="1F1F1F"/>
          <w:kern w:val="0"/>
          <w:sz w:val="20"/>
          <w:szCs w:val="20"/>
          <w14:ligatures w14:val="none"/>
        </w:rPr>
        <w:t>CD4 to CD8 T-Cell Ratio:</w:t>
      </w:r>
      <w:r w:rsidRPr="009C1363">
        <w:rPr>
          <w:rFonts w:ascii="Times New Roman" w:eastAsia="Times New Roman" w:hAnsi="Times New Roman" w:cs="Times New Roman"/>
          <w:color w:val="1F1F1F"/>
          <w:kern w:val="0"/>
          <w:sz w:val="20"/>
          <w:szCs w:val="20"/>
          <w14:ligatures w14:val="none"/>
        </w:rPr>
        <w:t> A clear dose-dependent effect was observed.</w:t>
      </w:r>
    </w:p>
    <w:p w14:paraId="53556FE6" w14:textId="77777777" w:rsidR="009C1363" w:rsidRPr="009C1363" w:rsidRDefault="009C1363" w:rsidP="009C1363">
      <w:pPr>
        <w:spacing w:after="0" w:line="240" w:lineRule="auto"/>
        <w:rPr>
          <w:rFonts w:ascii="Times New Roman" w:eastAsia="Times New Roman" w:hAnsi="Times New Roman" w:cs="Times New Roman"/>
          <w:color w:val="1F1F1F"/>
          <w:kern w:val="0"/>
          <w:sz w:val="20"/>
          <w:szCs w:val="20"/>
          <w14:ligatures w14:val="none"/>
        </w:rPr>
      </w:pPr>
      <w:r w:rsidRPr="009C1363">
        <w:rPr>
          <w:rFonts w:ascii="Times New Roman" w:eastAsia="Times New Roman" w:hAnsi="Times New Roman" w:cs="Times New Roman"/>
          <w:color w:val="1F1F1F"/>
          <w:kern w:val="0"/>
          <w:sz w:val="20"/>
          <w:szCs w:val="20"/>
          <w14:ligatures w14:val="none"/>
        </w:rPr>
        <w:t>    ◦ In the </w:t>
      </w:r>
      <w:r w:rsidRPr="009C1363">
        <w:rPr>
          <w:rFonts w:ascii="Times New Roman" w:eastAsia="Times New Roman" w:hAnsi="Times New Roman" w:cs="Times New Roman"/>
          <w:b/>
          <w:bCs/>
          <w:color w:val="1F1F1F"/>
          <w:kern w:val="0"/>
          <w:sz w:val="20"/>
          <w:szCs w:val="20"/>
          <w14:ligatures w14:val="none"/>
        </w:rPr>
        <w:t>2.5 mg/kg ATG group</w:t>
      </w:r>
      <w:r w:rsidRPr="009C1363">
        <w:rPr>
          <w:rFonts w:ascii="Times New Roman" w:eastAsia="Times New Roman" w:hAnsi="Times New Roman" w:cs="Times New Roman"/>
          <w:color w:val="1F1F1F"/>
          <w:kern w:val="0"/>
          <w:sz w:val="20"/>
          <w:szCs w:val="20"/>
          <w14:ligatures w14:val="none"/>
        </w:rPr>
        <w:t>, the ratio decreased sharply after treatment and remained significantly reduced compared to baseline throughout the 12-month follow-up.</w:t>
      </w:r>
    </w:p>
    <w:p w14:paraId="0FB2B5A1" w14:textId="77777777" w:rsidR="009C1363" w:rsidRPr="009C1363" w:rsidRDefault="009C1363" w:rsidP="009C1363">
      <w:pPr>
        <w:spacing w:after="0" w:line="240" w:lineRule="auto"/>
        <w:rPr>
          <w:rFonts w:ascii="Times New Roman" w:eastAsia="Times New Roman" w:hAnsi="Times New Roman" w:cs="Times New Roman"/>
          <w:color w:val="1F1F1F"/>
          <w:kern w:val="0"/>
          <w:sz w:val="20"/>
          <w:szCs w:val="20"/>
          <w14:ligatures w14:val="none"/>
        </w:rPr>
      </w:pPr>
      <w:r w:rsidRPr="009C1363">
        <w:rPr>
          <w:rFonts w:ascii="Times New Roman" w:eastAsia="Times New Roman" w:hAnsi="Times New Roman" w:cs="Times New Roman"/>
          <w:color w:val="1F1F1F"/>
          <w:kern w:val="0"/>
          <w:sz w:val="20"/>
          <w:szCs w:val="20"/>
          <w14:ligatures w14:val="none"/>
        </w:rPr>
        <w:t>    ◦ In the </w:t>
      </w:r>
      <w:r w:rsidRPr="009C1363">
        <w:rPr>
          <w:rFonts w:ascii="Times New Roman" w:eastAsia="Times New Roman" w:hAnsi="Times New Roman" w:cs="Times New Roman"/>
          <w:b/>
          <w:bCs/>
          <w:color w:val="1F1F1F"/>
          <w:kern w:val="0"/>
          <w:sz w:val="20"/>
          <w:szCs w:val="20"/>
          <w14:ligatures w14:val="none"/>
        </w:rPr>
        <w:t>0.5 mg/kg ATG group</w:t>
      </w:r>
      <w:r w:rsidRPr="009C1363">
        <w:rPr>
          <w:rFonts w:ascii="Times New Roman" w:eastAsia="Times New Roman" w:hAnsi="Times New Roman" w:cs="Times New Roman"/>
          <w:color w:val="1F1F1F"/>
          <w:kern w:val="0"/>
          <w:sz w:val="20"/>
          <w:szCs w:val="20"/>
          <w14:ligatures w14:val="none"/>
        </w:rPr>
        <w:t>, the ratio also decreased initially but was not significantly different from baseline at 6 months or from placebo at 12 months.</w:t>
      </w:r>
    </w:p>
    <w:p w14:paraId="55EEAA9E" w14:textId="77777777" w:rsidR="009C1363" w:rsidRPr="009C1363" w:rsidRDefault="009C1363" w:rsidP="009C1363">
      <w:pPr>
        <w:spacing w:after="0" w:line="240" w:lineRule="auto"/>
        <w:rPr>
          <w:rFonts w:ascii="Times New Roman" w:eastAsia="Times New Roman" w:hAnsi="Times New Roman" w:cs="Times New Roman"/>
          <w:color w:val="1F1F1F"/>
          <w:kern w:val="0"/>
          <w:sz w:val="20"/>
          <w:szCs w:val="20"/>
          <w14:ligatures w14:val="none"/>
        </w:rPr>
      </w:pPr>
      <w:r w:rsidRPr="009C1363">
        <w:rPr>
          <w:rFonts w:ascii="Times New Roman" w:eastAsia="Times New Roman" w:hAnsi="Times New Roman" w:cs="Times New Roman"/>
          <w:color w:val="1F1F1F"/>
          <w:kern w:val="0"/>
          <w:sz w:val="20"/>
          <w:szCs w:val="20"/>
          <w14:ligatures w14:val="none"/>
        </w:rPr>
        <w:t>• </w:t>
      </w:r>
      <w:r w:rsidRPr="009C1363">
        <w:rPr>
          <w:rFonts w:ascii="Times New Roman" w:eastAsia="Times New Roman" w:hAnsi="Times New Roman" w:cs="Times New Roman"/>
          <w:b/>
          <w:bCs/>
          <w:color w:val="1F1F1F"/>
          <w:kern w:val="0"/>
          <w:sz w:val="20"/>
          <w:szCs w:val="20"/>
          <w14:ligatures w14:val="none"/>
        </w:rPr>
        <w:t>Implications for Mechanism:</w:t>
      </w:r>
      <w:r w:rsidRPr="009C1363">
        <w:rPr>
          <w:rFonts w:ascii="Times New Roman" w:eastAsia="Times New Roman" w:hAnsi="Times New Roman" w:cs="Times New Roman"/>
          <w:color w:val="1F1F1F"/>
          <w:kern w:val="0"/>
          <w:sz w:val="20"/>
          <w:szCs w:val="20"/>
          <w14:ligatures w14:val="none"/>
        </w:rPr>
        <w:t> The fact that the 0.5 mg/kg dose was effective despite the transient effect on the CD4 to CD8 ratio supports "previous data suggesting that the efficacy of ATG is not strictly related to the level of lymphocyte depletion." The authors suggest potential mechanisms could involve sparing of regulatory T-cells or inducing an exhausted signature in CD4 T-cells, warranting further investigation.</w:t>
      </w:r>
    </w:p>
    <w:p w14:paraId="40145407" w14:textId="77777777" w:rsidR="009C1363" w:rsidRPr="009C1363" w:rsidRDefault="009C1363" w:rsidP="009C1363">
      <w:pPr>
        <w:spacing w:after="0" w:line="240" w:lineRule="auto"/>
        <w:rPr>
          <w:rFonts w:ascii="Times New Roman" w:eastAsia="Times New Roman" w:hAnsi="Times New Roman" w:cs="Times New Roman"/>
          <w:color w:val="1F1F1F"/>
          <w:kern w:val="0"/>
          <w:sz w:val="20"/>
          <w:szCs w:val="20"/>
          <w14:ligatures w14:val="none"/>
        </w:rPr>
      </w:pPr>
      <w:r w:rsidRPr="009C1363">
        <w:rPr>
          <w:rFonts w:ascii="Times New Roman" w:eastAsia="Times New Roman" w:hAnsi="Times New Roman" w:cs="Times New Roman"/>
          <w:color w:val="1F1F1F"/>
          <w:kern w:val="0"/>
          <w:sz w:val="20"/>
          <w:szCs w:val="20"/>
          <w14:ligatures w14:val="none"/>
        </w:rPr>
        <w:t>6. Conclusions and Broader Implications</w:t>
      </w:r>
    </w:p>
    <w:p w14:paraId="66E86835" w14:textId="77777777" w:rsidR="009C1363" w:rsidRPr="009C1363" w:rsidRDefault="009C1363" w:rsidP="009C1363">
      <w:pPr>
        <w:spacing w:after="0" w:line="240" w:lineRule="auto"/>
        <w:rPr>
          <w:rFonts w:ascii="Times New Roman" w:eastAsia="Times New Roman" w:hAnsi="Times New Roman" w:cs="Times New Roman"/>
          <w:color w:val="1F1F1F"/>
          <w:kern w:val="0"/>
          <w:sz w:val="20"/>
          <w:szCs w:val="20"/>
          <w14:ligatures w14:val="none"/>
        </w:rPr>
      </w:pPr>
      <w:r w:rsidRPr="009C1363">
        <w:rPr>
          <w:rFonts w:ascii="Times New Roman" w:eastAsia="Times New Roman" w:hAnsi="Times New Roman" w:cs="Times New Roman"/>
          <w:color w:val="1F1F1F"/>
          <w:kern w:val="0"/>
          <w:sz w:val="20"/>
          <w:szCs w:val="20"/>
          <w14:ligatures w14:val="none"/>
        </w:rPr>
        <w:t>The MELD-ATG trial yielded several crucial conclusions for the treatment of type 1 diabetes.</w:t>
      </w:r>
    </w:p>
    <w:p w14:paraId="7CF2A705" w14:textId="77777777" w:rsidR="009C1363" w:rsidRPr="009C1363" w:rsidRDefault="009C1363" w:rsidP="009C1363">
      <w:pPr>
        <w:spacing w:after="0" w:line="240" w:lineRule="auto"/>
        <w:rPr>
          <w:rFonts w:ascii="Times New Roman" w:eastAsia="Times New Roman" w:hAnsi="Times New Roman" w:cs="Times New Roman"/>
          <w:color w:val="1F1F1F"/>
          <w:kern w:val="0"/>
          <w:sz w:val="20"/>
          <w:szCs w:val="20"/>
          <w14:ligatures w14:val="none"/>
        </w:rPr>
      </w:pPr>
      <w:r w:rsidRPr="009C1363">
        <w:rPr>
          <w:rFonts w:ascii="Times New Roman" w:eastAsia="Times New Roman" w:hAnsi="Times New Roman" w:cs="Times New Roman"/>
          <w:color w:val="1F1F1F"/>
          <w:kern w:val="0"/>
          <w:sz w:val="20"/>
          <w:szCs w:val="20"/>
          <w14:ligatures w14:val="none"/>
        </w:rPr>
        <w:t>• </w:t>
      </w:r>
      <w:r w:rsidRPr="009C1363">
        <w:rPr>
          <w:rFonts w:ascii="Times New Roman" w:eastAsia="Times New Roman" w:hAnsi="Times New Roman" w:cs="Times New Roman"/>
          <w:b/>
          <w:bCs/>
          <w:color w:val="1F1F1F"/>
          <w:kern w:val="0"/>
          <w:sz w:val="20"/>
          <w:szCs w:val="20"/>
          <w14:ligatures w14:val="none"/>
        </w:rPr>
        <w:t>Identification of an Optimal Dose:</w:t>
      </w:r>
      <w:r w:rsidRPr="009C1363">
        <w:rPr>
          <w:rFonts w:ascii="Times New Roman" w:eastAsia="Times New Roman" w:hAnsi="Times New Roman" w:cs="Times New Roman"/>
          <w:color w:val="1F1F1F"/>
          <w:kern w:val="0"/>
          <w:sz w:val="20"/>
          <w:szCs w:val="20"/>
          <w14:ligatures w14:val="none"/>
        </w:rPr>
        <w:t> The trial confirmed the efficacy of 2.5 mg/kg ATG and successfully identified 0.5 mg/kg as a minimum effective dose that offers a superior balance of efficacy and safety. The study concludes that "in young people with recent-onset, clinical type 1 diabetes, 2.5 mg/kg and 0.5 mg/kg ATG reduced loss of β-cell function, showing the potential of an affordable, repurposed agent, ATG, in a low and safe dose."</w:t>
      </w:r>
    </w:p>
    <w:p w14:paraId="03FE6EFE" w14:textId="77777777" w:rsidR="009C1363" w:rsidRPr="009C1363" w:rsidRDefault="009C1363" w:rsidP="009C1363">
      <w:pPr>
        <w:spacing w:after="0" w:line="240" w:lineRule="auto"/>
        <w:rPr>
          <w:rFonts w:ascii="Times New Roman" w:eastAsia="Times New Roman" w:hAnsi="Times New Roman" w:cs="Times New Roman"/>
          <w:color w:val="1F1F1F"/>
          <w:kern w:val="0"/>
          <w:sz w:val="20"/>
          <w:szCs w:val="20"/>
          <w14:ligatures w14:val="none"/>
        </w:rPr>
      </w:pPr>
      <w:r w:rsidRPr="009C1363">
        <w:rPr>
          <w:rFonts w:ascii="Times New Roman" w:eastAsia="Times New Roman" w:hAnsi="Times New Roman" w:cs="Times New Roman"/>
          <w:color w:val="1F1F1F"/>
          <w:kern w:val="0"/>
          <w:sz w:val="20"/>
          <w:szCs w:val="20"/>
          <w14:ligatures w14:val="none"/>
        </w:rPr>
        <w:t>• </w:t>
      </w:r>
      <w:r w:rsidRPr="009C1363">
        <w:rPr>
          <w:rFonts w:ascii="Times New Roman" w:eastAsia="Times New Roman" w:hAnsi="Times New Roman" w:cs="Times New Roman"/>
          <w:b/>
          <w:bCs/>
          <w:color w:val="1F1F1F"/>
          <w:kern w:val="0"/>
          <w:sz w:val="20"/>
          <w:szCs w:val="20"/>
          <w14:ligatures w14:val="none"/>
        </w:rPr>
        <w:t>Validation of Adaptive Trial Design:</w:t>
      </w:r>
      <w:r w:rsidRPr="009C1363">
        <w:rPr>
          <w:rFonts w:ascii="Times New Roman" w:eastAsia="Times New Roman" w:hAnsi="Times New Roman" w:cs="Times New Roman"/>
          <w:color w:val="1F1F1F"/>
          <w:kern w:val="0"/>
          <w:sz w:val="20"/>
          <w:szCs w:val="20"/>
          <w14:ligatures w14:val="none"/>
        </w:rPr>
        <w:t> The study serves as a powerful proof-of-concept for using adaptive designs in type 1 diabetes research. This approach "could allow an increased pace of finding treatments to arrest type 1 diabetes progression."</w:t>
      </w:r>
    </w:p>
    <w:p w14:paraId="52F4C9A2" w14:textId="77777777" w:rsidR="009C1363" w:rsidRPr="009C1363" w:rsidRDefault="009C1363" w:rsidP="009C1363">
      <w:pPr>
        <w:spacing w:after="0" w:line="240" w:lineRule="auto"/>
        <w:rPr>
          <w:rFonts w:ascii="Times New Roman" w:eastAsia="Times New Roman" w:hAnsi="Times New Roman" w:cs="Times New Roman"/>
          <w:color w:val="1F1F1F"/>
          <w:kern w:val="0"/>
          <w:sz w:val="20"/>
          <w:szCs w:val="20"/>
          <w14:ligatures w14:val="none"/>
        </w:rPr>
      </w:pPr>
      <w:r w:rsidRPr="009C1363">
        <w:rPr>
          <w:rFonts w:ascii="Times New Roman" w:eastAsia="Times New Roman" w:hAnsi="Times New Roman" w:cs="Times New Roman"/>
          <w:color w:val="1F1F1F"/>
          <w:kern w:val="0"/>
          <w:sz w:val="20"/>
          <w:szCs w:val="20"/>
          <w14:ligatures w14:val="none"/>
        </w:rPr>
        <w:t>• </w:t>
      </w:r>
      <w:r w:rsidRPr="009C1363">
        <w:rPr>
          <w:rFonts w:ascii="Times New Roman" w:eastAsia="Times New Roman" w:hAnsi="Times New Roman" w:cs="Times New Roman"/>
          <w:b/>
          <w:bCs/>
          <w:color w:val="1F1F1F"/>
          <w:kern w:val="0"/>
          <w:sz w:val="20"/>
          <w:szCs w:val="20"/>
          <w14:ligatures w14:val="none"/>
        </w:rPr>
        <w:t>Urgency for Pediatric Testing:</w:t>
      </w:r>
      <w:r w:rsidRPr="009C1363">
        <w:rPr>
          <w:rFonts w:ascii="Times New Roman" w:eastAsia="Times New Roman" w:hAnsi="Times New Roman" w:cs="Times New Roman"/>
          <w:color w:val="1F1F1F"/>
          <w:kern w:val="0"/>
          <w:sz w:val="20"/>
          <w:szCs w:val="20"/>
          <w14:ligatures w14:val="none"/>
        </w:rPr>
        <w:t> The findings highlight the need to re-evaluate regulatory pathways that typically delay testing in children. The study argues that this process "might fail to identify agents potentially effective in younger people but not in adults and might lead to the premature rejection of effective treatments."</w:t>
      </w:r>
    </w:p>
    <w:p w14:paraId="13E83102" w14:textId="77777777" w:rsidR="009C1363" w:rsidRPr="009C1363" w:rsidRDefault="009C1363" w:rsidP="009C1363">
      <w:pPr>
        <w:spacing w:after="0" w:line="240" w:lineRule="auto"/>
        <w:rPr>
          <w:rFonts w:ascii="Times New Roman" w:eastAsia="Times New Roman" w:hAnsi="Times New Roman" w:cs="Times New Roman"/>
          <w:color w:val="1F1F1F"/>
          <w:kern w:val="0"/>
          <w:sz w:val="20"/>
          <w:szCs w:val="20"/>
          <w14:ligatures w14:val="none"/>
        </w:rPr>
      </w:pPr>
      <w:r w:rsidRPr="009C1363">
        <w:rPr>
          <w:rFonts w:ascii="Times New Roman" w:eastAsia="Times New Roman" w:hAnsi="Times New Roman" w:cs="Times New Roman"/>
          <w:color w:val="1F1F1F"/>
          <w:kern w:val="0"/>
          <w:sz w:val="20"/>
          <w:szCs w:val="20"/>
          <w14:ligatures w14:val="none"/>
        </w:rPr>
        <w:t>• </w:t>
      </w:r>
      <w:r w:rsidRPr="009C1363">
        <w:rPr>
          <w:rFonts w:ascii="Times New Roman" w:eastAsia="Times New Roman" w:hAnsi="Times New Roman" w:cs="Times New Roman"/>
          <w:b/>
          <w:bCs/>
          <w:color w:val="1F1F1F"/>
          <w:kern w:val="0"/>
          <w:sz w:val="20"/>
          <w:szCs w:val="20"/>
          <w14:ligatures w14:val="none"/>
        </w:rPr>
        <w:t>Future Directions:</w:t>
      </w:r>
      <w:r w:rsidRPr="009C1363">
        <w:rPr>
          <w:rFonts w:ascii="Times New Roman" w:eastAsia="Times New Roman" w:hAnsi="Times New Roman" w:cs="Times New Roman"/>
          <w:color w:val="1F1F1F"/>
          <w:kern w:val="0"/>
          <w:sz w:val="20"/>
          <w:szCs w:val="20"/>
          <w14:ligatures w14:val="none"/>
        </w:rPr>
        <w:t> While effective, ATG did not fully halt β-cell destruction. This suggests that future research should explore combination treatments or the potential for re-administration to achieve a more durable protective effect.</w:t>
      </w:r>
    </w:p>
    <w:p w14:paraId="4DACD572" w14:textId="77777777" w:rsidR="009C1363" w:rsidRPr="009C1363" w:rsidRDefault="009C1363" w:rsidP="009C1363">
      <w:pPr>
        <w:spacing w:after="0" w:line="240" w:lineRule="auto"/>
        <w:rPr>
          <w:rFonts w:ascii="Times New Roman" w:eastAsia="Times New Roman" w:hAnsi="Times New Roman" w:cs="Times New Roman"/>
          <w:color w:val="1F1F1F"/>
          <w:kern w:val="0"/>
          <w:sz w:val="20"/>
          <w:szCs w:val="20"/>
          <w14:ligatures w14:val="none"/>
        </w:rPr>
      </w:pPr>
      <w:r w:rsidRPr="009C1363">
        <w:rPr>
          <w:rFonts w:ascii="Times New Roman" w:eastAsia="Times New Roman" w:hAnsi="Times New Roman" w:cs="Times New Roman"/>
          <w:color w:val="1F1F1F"/>
          <w:kern w:val="0"/>
          <w:sz w:val="20"/>
          <w:szCs w:val="20"/>
          <w14:ligatures w14:val="none"/>
        </w:rPr>
        <w:t>--------------------------------------------------------------------------------</w:t>
      </w:r>
    </w:p>
    <w:p w14:paraId="1AA83385" w14:textId="77777777" w:rsidR="009C1363" w:rsidRPr="009C1363" w:rsidRDefault="009C1363" w:rsidP="009C1363">
      <w:pPr>
        <w:spacing w:after="0" w:line="240" w:lineRule="auto"/>
        <w:rPr>
          <w:rFonts w:ascii="Times New Roman" w:eastAsia="Times New Roman" w:hAnsi="Times New Roman" w:cs="Times New Roman"/>
          <w:kern w:val="0"/>
          <w:sz w:val="20"/>
          <w:szCs w:val="20"/>
          <w14:ligatures w14:val="none"/>
        </w:rPr>
      </w:pPr>
    </w:p>
    <w:p w14:paraId="1703BE49" w14:textId="77777777" w:rsidR="009C1363" w:rsidRPr="009C1363" w:rsidRDefault="009C1363">
      <w:pPr>
        <w:rPr>
          <w:rFonts w:ascii="Times New Roman" w:hAnsi="Times New Roman" w:cs="Times New Roman"/>
          <w:sz w:val="20"/>
          <w:szCs w:val="20"/>
        </w:rPr>
      </w:pPr>
    </w:p>
    <w:sectPr w:rsidR="009C1363" w:rsidRPr="009C136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1363"/>
    <w:rsid w:val="003653C9"/>
    <w:rsid w:val="0046682A"/>
    <w:rsid w:val="00662DE8"/>
    <w:rsid w:val="009C1363"/>
    <w:rsid w:val="00CF76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76664D7"/>
  <w15:chartTrackingRefBased/>
  <w15:docId w15:val="{3F61E4F3-C40B-6C4D-AC68-906423517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1363"/>
  </w:style>
  <w:style w:type="paragraph" w:styleId="Heading1">
    <w:name w:val="heading 1"/>
    <w:basedOn w:val="Normal"/>
    <w:next w:val="Normal"/>
    <w:link w:val="Heading1Char"/>
    <w:uiPriority w:val="9"/>
    <w:qFormat/>
    <w:rsid w:val="009C136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C136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C136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C136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C136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C136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C136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C136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C136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136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C136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C136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C136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C136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C136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C136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C136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C1363"/>
    <w:rPr>
      <w:rFonts w:eastAsiaTheme="majorEastAsia" w:cstheme="majorBidi"/>
      <w:color w:val="272727" w:themeColor="text1" w:themeTint="D8"/>
    </w:rPr>
  </w:style>
  <w:style w:type="paragraph" w:styleId="Title">
    <w:name w:val="Title"/>
    <w:basedOn w:val="Normal"/>
    <w:next w:val="Normal"/>
    <w:link w:val="TitleChar"/>
    <w:uiPriority w:val="10"/>
    <w:qFormat/>
    <w:rsid w:val="009C13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C13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C136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C136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C1363"/>
    <w:pPr>
      <w:spacing w:before="160"/>
      <w:jc w:val="center"/>
    </w:pPr>
    <w:rPr>
      <w:i/>
      <w:iCs/>
      <w:color w:val="404040" w:themeColor="text1" w:themeTint="BF"/>
    </w:rPr>
  </w:style>
  <w:style w:type="character" w:customStyle="1" w:styleId="QuoteChar">
    <w:name w:val="Quote Char"/>
    <w:basedOn w:val="DefaultParagraphFont"/>
    <w:link w:val="Quote"/>
    <w:uiPriority w:val="29"/>
    <w:rsid w:val="009C1363"/>
    <w:rPr>
      <w:i/>
      <w:iCs/>
      <w:color w:val="404040" w:themeColor="text1" w:themeTint="BF"/>
    </w:rPr>
  </w:style>
  <w:style w:type="paragraph" w:styleId="ListParagraph">
    <w:name w:val="List Paragraph"/>
    <w:basedOn w:val="Normal"/>
    <w:uiPriority w:val="34"/>
    <w:qFormat/>
    <w:rsid w:val="009C1363"/>
    <w:pPr>
      <w:ind w:left="720"/>
      <w:contextualSpacing/>
    </w:pPr>
  </w:style>
  <w:style w:type="character" w:styleId="IntenseEmphasis">
    <w:name w:val="Intense Emphasis"/>
    <w:basedOn w:val="DefaultParagraphFont"/>
    <w:uiPriority w:val="21"/>
    <w:qFormat/>
    <w:rsid w:val="009C1363"/>
    <w:rPr>
      <w:i/>
      <w:iCs/>
      <w:color w:val="0F4761" w:themeColor="accent1" w:themeShade="BF"/>
    </w:rPr>
  </w:style>
  <w:style w:type="paragraph" w:styleId="IntenseQuote">
    <w:name w:val="Intense Quote"/>
    <w:basedOn w:val="Normal"/>
    <w:next w:val="Normal"/>
    <w:link w:val="IntenseQuoteChar"/>
    <w:uiPriority w:val="30"/>
    <w:qFormat/>
    <w:rsid w:val="009C13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C1363"/>
    <w:rPr>
      <w:i/>
      <w:iCs/>
      <w:color w:val="0F4761" w:themeColor="accent1" w:themeShade="BF"/>
    </w:rPr>
  </w:style>
  <w:style w:type="character" w:styleId="IntenseReference">
    <w:name w:val="Intense Reference"/>
    <w:basedOn w:val="DefaultParagraphFont"/>
    <w:uiPriority w:val="32"/>
    <w:qFormat/>
    <w:rsid w:val="009C1363"/>
    <w:rPr>
      <w:b/>
      <w:bCs/>
      <w:smallCaps/>
      <w:color w:val="0F4761" w:themeColor="accent1" w:themeShade="BF"/>
      <w:spacing w:val="5"/>
    </w:rPr>
  </w:style>
  <w:style w:type="character" w:customStyle="1" w:styleId="ng-star-inserted">
    <w:name w:val="ng-star-inserted"/>
    <w:basedOn w:val="DefaultParagraphFont"/>
    <w:rsid w:val="009C13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1612</Words>
  <Characters>9192</Characters>
  <Application>Microsoft Office Word</Application>
  <DocSecurity>0</DocSecurity>
  <Lines>76</Lines>
  <Paragraphs>21</Paragraphs>
  <ScaleCrop>false</ScaleCrop>
  <Company/>
  <LinksUpToDate>false</LinksUpToDate>
  <CharactersWithSpaces>10783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Westley PhD</dc:creator>
  <cp:keywords/>
  <dc:description/>
  <cp:lastModifiedBy>Monica Westley PhD</cp:lastModifiedBy>
  <cp:revision>1</cp:revision>
  <dcterms:created xsi:type="dcterms:W3CDTF">2025-09-25T14:54:00Z</dcterms:created>
  <dcterms:modified xsi:type="dcterms:W3CDTF">2025-09-25T14:56:00Z</dcterms:modified>
</cp:coreProperties>
</file>