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DB51B" w14:textId="4A47025B" w:rsidR="00C90FCF" w:rsidRPr="00C90FCF" w:rsidRDefault="00C90FCF" w:rsidP="00C90FCF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C90FCF">
        <w:rPr>
          <w:rFonts w:ascii="Times New Roman" w:eastAsia="Times New Roman" w:hAnsi="Times New Roman" w:cs="Times New Roman"/>
          <w:b/>
          <w:bCs/>
          <w:color w:val="131314"/>
          <w:kern w:val="0"/>
          <w:sz w:val="20"/>
          <w:szCs w:val="20"/>
          <w14:ligatures w14:val="none"/>
        </w:rPr>
        <w:t>SUMMARY (</w:t>
      </w:r>
      <w:r w:rsidRPr="00C90FCF">
        <w:rPr>
          <w:rFonts w:ascii="Times New Roman" w:eastAsia="Times New Roman" w:hAnsi="Times New Roman" w:cs="Times New Roman"/>
          <w:b/>
          <w:bCs/>
          <w:color w:val="131314"/>
          <w:kern w:val="0"/>
          <w:sz w:val="20"/>
          <w:szCs w:val="20"/>
          <w14:ligatures w14:val="none"/>
        </w:rPr>
        <w:t>cutting edge</w:t>
      </w:r>
      <w:r w:rsidRPr="00C90FCF">
        <w:rPr>
          <w:rFonts w:ascii="Times New Roman" w:eastAsia="Times New Roman" w:hAnsi="Times New Roman" w:cs="Times New Roman"/>
          <w:b/>
          <w:bCs/>
          <w:color w:val="131314"/>
          <w:kern w:val="0"/>
          <w:sz w:val="20"/>
          <w:szCs w:val="20"/>
          <w14:ligatures w14:val="none"/>
        </w:rPr>
        <w:t xml:space="preserve">) </w:t>
      </w:r>
      <w:r w:rsidRPr="00C90FCF">
        <w:rPr>
          <w:rFonts w:ascii="Times New Roman" w:eastAsia="Times New Roman" w:hAnsi="Times New Roman" w:cs="Times New Roman"/>
          <w:b/>
          <w:bCs/>
          <w:color w:val="131314"/>
          <w:kern w:val="0"/>
          <w:sz w:val="20"/>
          <w:szCs w:val="20"/>
          <w14:ligatures w14:val="none"/>
        </w:rPr>
        <w:t>8/29</w:t>
      </w:r>
      <w:r w:rsidRPr="00C90FCF">
        <w:rPr>
          <w:rFonts w:ascii="Times New Roman" w:eastAsia="Times New Roman" w:hAnsi="Times New Roman" w:cs="Times New Roman"/>
          <w:b/>
          <w:bCs/>
          <w:color w:val="131314"/>
          <w:kern w:val="0"/>
          <w:sz w:val="20"/>
          <w:szCs w:val="20"/>
          <w14:ligatures w14:val="none"/>
        </w:rPr>
        <w:t>/25</w:t>
      </w:r>
    </w:p>
    <w:p w14:paraId="45717018" w14:textId="77777777" w:rsidR="00C90FCF" w:rsidRDefault="00C90FCF" w:rsidP="00C90FCF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C90FCF">
        <w:rPr>
          <w:rFonts w:ascii="Times New Roman" w:eastAsia="Times New Roman" w:hAnsi="Times New Roman" w:cs="Times New Roman"/>
          <w:b/>
          <w:bCs/>
          <w:color w:val="FF2F92"/>
          <w:kern w:val="0"/>
          <w:sz w:val="20"/>
          <w:szCs w:val="20"/>
          <w14:ligatures w14:val="none"/>
        </w:rPr>
        <w:t>ciT1zen science</w:t>
      </w:r>
    </w:p>
    <w:p w14:paraId="37C86E1D" w14:textId="77777777" w:rsidR="00C90FCF" w:rsidRDefault="00C90FCF" w:rsidP="00C90FCF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</w:p>
    <w:p w14:paraId="675CE9C8" w14:textId="2BE6293A" w:rsidR="00C90FCF" w:rsidRPr="00C90FCF" w:rsidRDefault="00C90FCF" w:rsidP="00C90FCF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C90FCF">
        <w:rPr>
          <w:rFonts w:ascii="Google Sans" w:eastAsia="Times New Roman" w:hAnsi="Google Sans" w:cs="Times New Roman"/>
          <w:color w:val="131314"/>
          <w:kern w:val="36"/>
          <w:sz w:val="20"/>
          <w:szCs w:val="20"/>
          <w14:ligatures w14:val="none"/>
        </w:rPr>
        <w:t>Human Gut Commensal Bacteroides fragilis Suppresses Mucin Production and Alters Microbiota Composition Resulting in Accelerated Type 1 Diabetes in Mice</w:t>
      </w:r>
    </w:p>
    <w:p w14:paraId="72817CBD" w14:textId="77777777" w:rsidR="00C90FCF" w:rsidRPr="00C90FCF" w:rsidRDefault="00C90FCF" w:rsidP="00C90FCF">
      <w:pPr>
        <w:shd w:val="clear" w:color="auto" w:fill="FFFFFF"/>
        <w:spacing w:after="0" w:line="300" w:lineRule="atLeast"/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</w:pPr>
      <w:r w:rsidRPr="00C90FCF">
        <w:rPr>
          <w:rFonts w:ascii="Google Sans" w:eastAsia="Times New Roman" w:hAnsi="Google Sans" w:cs="Times New Roman"/>
          <w:b/>
          <w:bCs/>
          <w:color w:val="131314"/>
          <w:kern w:val="0"/>
          <w:sz w:val="20"/>
          <w:szCs w:val="20"/>
          <w14:ligatures w14:val="none"/>
        </w:rPr>
        <w:t>Source:</w:t>
      </w:r>
      <w:r w:rsidRPr="00C90FCF"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  <w:t xml:space="preserve"> Excerpts from "Immunology - 2025 - Gudi - Human Gut Commensal Bacteroides fragilis Suppresses Mucin Production and Alters Microbiota.pdf" </w:t>
      </w:r>
      <w:r w:rsidRPr="00C90FCF">
        <w:rPr>
          <w:rFonts w:ascii="Google Sans" w:eastAsia="Times New Roman" w:hAnsi="Google Sans" w:cs="Times New Roman"/>
          <w:b/>
          <w:bCs/>
          <w:color w:val="131314"/>
          <w:kern w:val="0"/>
          <w:sz w:val="20"/>
          <w:szCs w:val="20"/>
          <w14:ligatures w14:val="none"/>
        </w:rPr>
        <w:t>Authors:</w:t>
      </w:r>
      <w:r w:rsidRPr="00C90FCF"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  <w:t xml:space="preserve"> Radhika R. Gudi, Harrison Taylor, Benjamin M. Johnson, Ruchika Maurya, Mary E. Mulligan, Loni Carter, Caroline Westwater, </w:t>
      </w:r>
      <w:proofErr w:type="spellStart"/>
      <w:r w:rsidRPr="00C90FCF"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  <w:t>Chenthamarakshan</w:t>
      </w:r>
      <w:proofErr w:type="spellEnd"/>
      <w:r w:rsidRPr="00C90FCF"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  <w:t xml:space="preserve"> Vasu </w:t>
      </w:r>
      <w:r w:rsidRPr="00C90FCF">
        <w:rPr>
          <w:rFonts w:ascii="Google Sans" w:eastAsia="Times New Roman" w:hAnsi="Google Sans" w:cs="Times New Roman"/>
          <w:b/>
          <w:bCs/>
          <w:color w:val="131314"/>
          <w:kern w:val="0"/>
          <w:sz w:val="20"/>
          <w:szCs w:val="20"/>
          <w14:ligatures w14:val="none"/>
        </w:rPr>
        <w:t>Journal:</w:t>
      </w:r>
      <w:r w:rsidRPr="00C90FCF"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  <w:t xml:space="preserve"> Immunology </w:t>
      </w:r>
      <w:r w:rsidRPr="00C90FCF">
        <w:rPr>
          <w:rFonts w:ascii="Google Sans" w:eastAsia="Times New Roman" w:hAnsi="Google Sans" w:cs="Times New Roman"/>
          <w:b/>
          <w:bCs/>
          <w:color w:val="131314"/>
          <w:kern w:val="0"/>
          <w:sz w:val="20"/>
          <w:szCs w:val="20"/>
          <w14:ligatures w14:val="none"/>
        </w:rPr>
        <w:t>Publication Date:</w:t>
      </w:r>
      <w:r w:rsidRPr="00C90FCF"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  <w:t xml:space="preserve"> 2025</w:t>
      </w:r>
    </w:p>
    <w:p w14:paraId="6C9B4BC1" w14:textId="77777777" w:rsidR="00C90FCF" w:rsidRPr="00C90FCF" w:rsidRDefault="00C90FCF" w:rsidP="00C90FCF">
      <w:pPr>
        <w:shd w:val="clear" w:color="auto" w:fill="FFFFFF"/>
        <w:spacing w:after="0" w:line="780" w:lineRule="atLeast"/>
        <w:outlineLvl w:val="1"/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</w:pPr>
      <w:r w:rsidRPr="00C90FCF"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  <w:t>1. Executive Summary</w:t>
      </w:r>
    </w:p>
    <w:p w14:paraId="1CB616F0" w14:textId="77777777" w:rsidR="00C90FCF" w:rsidRPr="00C90FCF" w:rsidRDefault="00C90FCF" w:rsidP="00C90FCF">
      <w:pPr>
        <w:shd w:val="clear" w:color="auto" w:fill="FFFFFF"/>
        <w:spacing w:after="0" w:line="300" w:lineRule="atLeast"/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</w:pPr>
      <w:r w:rsidRPr="00C90FCF"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  <w:t xml:space="preserve">This study investigates the role of the human gut commensal bacterium </w:t>
      </w:r>
      <w:r w:rsidRPr="00C90FCF">
        <w:rPr>
          <w:rFonts w:ascii="Google Sans" w:eastAsia="Times New Roman" w:hAnsi="Google Sans" w:cs="Times New Roman"/>
          <w:i/>
          <w:iCs/>
          <w:color w:val="131314"/>
          <w:kern w:val="0"/>
          <w:sz w:val="20"/>
          <w:szCs w:val="20"/>
          <w14:ligatures w14:val="none"/>
        </w:rPr>
        <w:t>Bacteroides fragilis</w:t>
      </w:r>
      <w:r w:rsidRPr="00C90FCF"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  <w:t xml:space="preserve"> (BF) in the development and progression of Type 1 Diabetes (T1D) using non-obese diabetic (NOD) mouse models. While gut commensals generally contribute to health, this research demonstrates that early-life colonization by BF can paradoxically accelerate T1D onset. The key findings indicate that BF promotes a pro-inflammatory immune response, alters the gut microbiota composition (increasing Bacteroidetes and decreasing Firmicutes and beneficial mucin degraders like </w:t>
      </w:r>
      <w:proofErr w:type="spellStart"/>
      <w:r w:rsidRPr="00C90FCF">
        <w:rPr>
          <w:rFonts w:ascii="Google Sans" w:eastAsia="Times New Roman" w:hAnsi="Google Sans" w:cs="Times New Roman"/>
          <w:i/>
          <w:iCs/>
          <w:color w:val="131314"/>
          <w:kern w:val="0"/>
          <w:sz w:val="20"/>
          <w:szCs w:val="20"/>
          <w14:ligatures w14:val="none"/>
        </w:rPr>
        <w:t>Akkermansia</w:t>
      </w:r>
      <w:proofErr w:type="spellEnd"/>
      <w:r w:rsidRPr="00C90FCF">
        <w:rPr>
          <w:rFonts w:ascii="Google Sans" w:eastAsia="Times New Roman" w:hAnsi="Google Sans" w:cs="Times New Roman"/>
          <w:i/>
          <w:iCs/>
          <w:color w:val="131314"/>
          <w:kern w:val="0"/>
          <w:sz w:val="20"/>
          <w:szCs w:val="20"/>
          <w14:ligatures w14:val="none"/>
        </w:rPr>
        <w:t xml:space="preserve"> </w:t>
      </w:r>
      <w:proofErr w:type="spellStart"/>
      <w:r w:rsidRPr="00C90FCF">
        <w:rPr>
          <w:rFonts w:ascii="Google Sans" w:eastAsia="Times New Roman" w:hAnsi="Google Sans" w:cs="Times New Roman"/>
          <w:i/>
          <w:iCs/>
          <w:color w:val="131314"/>
          <w:kern w:val="0"/>
          <w:sz w:val="20"/>
          <w:szCs w:val="20"/>
          <w14:ligatures w14:val="none"/>
        </w:rPr>
        <w:t>muciniphila</w:t>
      </w:r>
      <w:proofErr w:type="spellEnd"/>
      <w:r w:rsidRPr="00C90FCF"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  <w:t>), and significantly suppresses mucin production in the distal gut. These effects contribute to a lasting dysbiosis and heightened autoimmune susceptibility, even after conventionalization with diverse microbial communities. The study suggests two primary mechanisms: a TLR2-dependent inflammatory response in the systemic compartment due to early gut permeability and BF's active suppression of beneficial commensals by impacting mucin production.</w:t>
      </w:r>
    </w:p>
    <w:p w14:paraId="109AB75A" w14:textId="77777777" w:rsidR="00C90FCF" w:rsidRPr="00C90FCF" w:rsidRDefault="00C90FCF" w:rsidP="00C90FCF">
      <w:pPr>
        <w:shd w:val="clear" w:color="auto" w:fill="FFFFFF"/>
        <w:spacing w:after="0" w:line="780" w:lineRule="atLeast"/>
        <w:outlineLvl w:val="1"/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</w:pPr>
      <w:r w:rsidRPr="00C90FCF"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  <w:t>2. Main Themes and Key Findings</w:t>
      </w:r>
    </w:p>
    <w:p w14:paraId="1A78BA16" w14:textId="77777777" w:rsidR="00C90FCF" w:rsidRPr="00C90FCF" w:rsidRDefault="00C90FCF" w:rsidP="00C90FCF">
      <w:pPr>
        <w:shd w:val="clear" w:color="auto" w:fill="FFFFFF"/>
        <w:spacing w:after="0" w:line="660" w:lineRule="atLeast"/>
        <w:outlineLvl w:val="2"/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</w:pPr>
      <w:r w:rsidRPr="00C90FCF"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  <w:t xml:space="preserve">2.1. Early-Life </w:t>
      </w:r>
      <w:r w:rsidRPr="00C90FCF">
        <w:rPr>
          <w:rFonts w:ascii="Google Sans" w:eastAsia="Times New Roman" w:hAnsi="Google Sans" w:cs="Times New Roman"/>
          <w:i/>
          <w:iCs/>
          <w:color w:val="131314"/>
          <w:kern w:val="0"/>
          <w:sz w:val="20"/>
          <w:szCs w:val="20"/>
          <w14:ligatures w14:val="none"/>
        </w:rPr>
        <w:t>Bacteroides fragilis</w:t>
      </w:r>
      <w:r w:rsidRPr="00C90FCF"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  <w:t xml:space="preserve"> Colonization Accelerates Type 1 Diabetes Progression</w:t>
      </w:r>
    </w:p>
    <w:p w14:paraId="24878EEC" w14:textId="77777777" w:rsidR="00C90FCF" w:rsidRPr="00C90FCF" w:rsidRDefault="00C90FCF" w:rsidP="00C90F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</w:pPr>
      <w:r w:rsidRPr="00C90FCF">
        <w:rPr>
          <w:rFonts w:ascii="Google Sans" w:eastAsia="Times New Roman" w:hAnsi="Google Sans" w:cs="Times New Roman"/>
          <w:b/>
          <w:bCs/>
          <w:color w:val="131314"/>
          <w:kern w:val="0"/>
          <w:sz w:val="20"/>
          <w:szCs w:val="20"/>
          <w14:ligatures w14:val="none"/>
        </w:rPr>
        <w:t>Accelerated Hyperglycemia and Increased Incidence:</w:t>
      </w:r>
      <w:r w:rsidRPr="00C90FCF"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  <w:t xml:space="preserve"> Oral administration of live BF to juvenile (15–16-day-old) NOD mice significantly accelerated the onset of hyperglycemia and led to a higher overall T1D incidence during a 30-week monitoring period.</w:t>
      </w:r>
    </w:p>
    <w:p w14:paraId="7F82BEA9" w14:textId="77777777" w:rsidR="00C90FCF" w:rsidRPr="00C90FCF" w:rsidRDefault="00C90FCF" w:rsidP="00C90F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</w:pPr>
      <w:r w:rsidRPr="00C90FCF"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  <w:t>"</w:t>
      </w:r>
      <w:proofErr w:type="gramStart"/>
      <w:r w:rsidRPr="00C90FCF"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  <w:t>gut</w:t>
      </w:r>
      <w:proofErr w:type="gramEnd"/>
      <w:r w:rsidRPr="00C90FCF"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  <w:t xml:space="preserve"> </w:t>
      </w:r>
      <w:proofErr w:type="spellStart"/>
      <w:r w:rsidRPr="00C90FCF"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  <w:t>colonisation</w:t>
      </w:r>
      <w:proofErr w:type="spellEnd"/>
      <w:r w:rsidRPr="00C90FCF"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  <w:t xml:space="preserve"> of NOD mice at juvenile age by BF caused a significant acceleration of hyperglycemia onset and overall higher T1D incidence during the 30-week monitoring period."</w:t>
      </w:r>
    </w:p>
    <w:p w14:paraId="55D94BCF" w14:textId="77777777" w:rsidR="00C90FCF" w:rsidRPr="00C90FCF" w:rsidRDefault="00C90FCF" w:rsidP="00C90F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</w:pPr>
      <w:r w:rsidRPr="00C90FCF">
        <w:rPr>
          <w:rFonts w:ascii="Google Sans" w:eastAsia="Times New Roman" w:hAnsi="Google Sans" w:cs="Times New Roman"/>
          <w:b/>
          <w:bCs/>
          <w:color w:val="131314"/>
          <w:kern w:val="0"/>
          <w:sz w:val="20"/>
          <w:szCs w:val="20"/>
          <w14:ligatures w14:val="none"/>
        </w:rPr>
        <w:t>Increased Insulitis Severity:</w:t>
      </w:r>
      <w:r w:rsidRPr="00C90FCF"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  <w:t xml:space="preserve"> BF-colonized mice showed a "significantly higher number of islets with more severe insulitis" (grades ≥ 3) in the pancreas, indicating increased autoimmune destruction of insulin-producing β-cells.</w:t>
      </w:r>
    </w:p>
    <w:p w14:paraId="0C3E2C21" w14:textId="77777777" w:rsidR="00C90FCF" w:rsidRPr="00C90FCF" w:rsidRDefault="00C90FCF" w:rsidP="00C90F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</w:pPr>
      <w:r w:rsidRPr="00C90FCF">
        <w:rPr>
          <w:rFonts w:ascii="Google Sans" w:eastAsia="Times New Roman" w:hAnsi="Google Sans" w:cs="Times New Roman"/>
          <w:b/>
          <w:bCs/>
          <w:color w:val="131314"/>
          <w:kern w:val="0"/>
          <w:sz w:val="20"/>
          <w:szCs w:val="20"/>
          <w14:ligatures w14:val="none"/>
        </w:rPr>
        <w:t>Pro-inflammatory Immune Response:</w:t>
      </w:r>
      <w:r w:rsidRPr="00C90FCF"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  <w:t xml:space="preserve"> Spleen cells from BF-colonized mice exhibited "higher frequencies of </w:t>
      </w:r>
      <w:proofErr w:type="spellStart"/>
      <w:r w:rsidRPr="00C90FCF"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  <w:t>IFNγ</w:t>
      </w:r>
      <w:proofErr w:type="spellEnd"/>
      <w:r w:rsidRPr="00C90FCF"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  <w:t>+ and IL6+ and lower frequencies of IL10+ CD4 cells." Pancreatic lymph node (</w:t>
      </w:r>
      <w:proofErr w:type="spellStart"/>
      <w:r w:rsidRPr="00C90FCF"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  <w:t>PnLN</w:t>
      </w:r>
      <w:proofErr w:type="spellEnd"/>
      <w:r w:rsidRPr="00C90FCF"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  <w:t>) cells produced higher amounts of pro-inflammatory cytokines (</w:t>
      </w:r>
      <w:proofErr w:type="spellStart"/>
      <w:r w:rsidRPr="00C90FCF"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  <w:t>IFNγ</w:t>
      </w:r>
      <w:proofErr w:type="spellEnd"/>
      <w:r w:rsidRPr="00C90FCF"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  <w:t>, IL6) and, upon adoptive transfer, caused faster hyperglycemia in NOD-</w:t>
      </w:r>
      <w:proofErr w:type="spellStart"/>
      <w:r w:rsidRPr="00C90FCF"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  <w:t>Scid</w:t>
      </w:r>
      <w:proofErr w:type="spellEnd"/>
      <w:r w:rsidRPr="00C90FCF"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  <w:t xml:space="preserve"> mice, demonstrating their diabetogenic properties.</w:t>
      </w:r>
    </w:p>
    <w:p w14:paraId="482F9EFE" w14:textId="77777777" w:rsidR="00C90FCF" w:rsidRPr="00C90FCF" w:rsidRDefault="00C90FCF" w:rsidP="00C90F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</w:pPr>
      <w:r w:rsidRPr="00C90FCF">
        <w:rPr>
          <w:rFonts w:ascii="Google Sans" w:eastAsia="Times New Roman" w:hAnsi="Google Sans" w:cs="Times New Roman"/>
          <w:b/>
          <w:bCs/>
          <w:color w:val="131314"/>
          <w:kern w:val="0"/>
          <w:sz w:val="20"/>
          <w:szCs w:val="20"/>
          <w14:ligatures w14:val="none"/>
        </w:rPr>
        <w:t>TLR2 Dependence:</w:t>
      </w:r>
      <w:r w:rsidRPr="00C90FCF"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  <w:t xml:space="preserve"> The accelerated disease progression induced by juvenile BF colonization was partially "TLR2 dependent," as BF did not produce significant modulatory effects on disease progression in NOD-TLR2-KO mice. This aligns with previous work suggesting a role for BF-TLR2 interaction in systemic pro-inflammatory responses.</w:t>
      </w:r>
    </w:p>
    <w:p w14:paraId="65F3482B" w14:textId="77777777" w:rsidR="00C90FCF" w:rsidRPr="00C90FCF" w:rsidRDefault="00C90FCF" w:rsidP="00C90FCF">
      <w:pPr>
        <w:shd w:val="clear" w:color="auto" w:fill="FFFFFF"/>
        <w:spacing w:after="0" w:line="660" w:lineRule="atLeast"/>
        <w:outlineLvl w:val="2"/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</w:pPr>
      <w:r w:rsidRPr="00C90FCF"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  <w:t xml:space="preserve">2.2. </w:t>
      </w:r>
      <w:r w:rsidRPr="00C90FCF">
        <w:rPr>
          <w:rFonts w:ascii="Google Sans" w:eastAsia="Times New Roman" w:hAnsi="Google Sans" w:cs="Times New Roman"/>
          <w:i/>
          <w:iCs/>
          <w:color w:val="131314"/>
          <w:kern w:val="0"/>
          <w:sz w:val="20"/>
          <w:szCs w:val="20"/>
          <w14:ligatures w14:val="none"/>
        </w:rPr>
        <w:t>Bacteroides fragilis</w:t>
      </w:r>
      <w:r w:rsidRPr="00C90FCF"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  <w:t xml:space="preserve"> Alters Gut Microbiota Composition</w:t>
      </w:r>
    </w:p>
    <w:p w14:paraId="412487EA" w14:textId="77777777" w:rsidR="00C90FCF" w:rsidRPr="00C90FCF" w:rsidRDefault="00C90FCF" w:rsidP="00C90F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</w:pPr>
      <w:r w:rsidRPr="00C90FCF">
        <w:rPr>
          <w:rFonts w:ascii="Google Sans" w:eastAsia="Times New Roman" w:hAnsi="Google Sans" w:cs="Times New Roman"/>
          <w:b/>
          <w:bCs/>
          <w:color w:val="131314"/>
          <w:kern w:val="0"/>
          <w:sz w:val="20"/>
          <w:szCs w:val="20"/>
          <w14:ligatures w14:val="none"/>
        </w:rPr>
        <w:lastRenderedPageBreak/>
        <w:t>Significant Changes in Microbial Community:</w:t>
      </w:r>
      <w:r w:rsidRPr="00C90FCF"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  <w:t xml:space="preserve"> BF colonization led to "significantly distant clustering of samples from control and BF-</w:t>
      </w:r>
      <w:proofErr w:type="spellStart"/>
      <w:r w:rsidRPr="00C90FCF"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  <w:t>colonised</w:t>
      </w:r>
      <w:proofErr w:type="spellEnd"/>
      <w:r w:rsidRPr="00C90FCF"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  <w:t xml:space="preserve"> mice," indicating a distinct alteration in gut microbial community structure.</w:t>
      </w:r>
    </w:p>
    <w:p w14:paraId="317F043C" w14:textId="77777777" w:rsidR="00C90FCF" w:rsidRPr="00C90FCF" w:rsidRDefault="00C90FCF" w:rsidP="00C90F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</w:pPr>
      <w:r w:rsidRPr="00C90FCF">
        <w:rPr>
          <w:rFonts w:ascii="Google Sans" w:eastAsia="Times New Roman" w:hAnsi="Google Sans" w:cs="Times New Roman"/>
          <w:b/>
          <w:bCs/>
          <w:color w:val="131314"/>
          <w:kern w:val="0"/>
          <w:sz w:val="20"/>
          <w:szCs w:val="20"/>
          <w14:ligatures w14:val="none"/>
        </w:rPr>
        <w:t>Increased Diversity and Phyla Shifts:</w:t>
      </w:r>
      <w:r w:rsidRPr="00C90FCF"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  <w:t xml:space="preserve"> BF-colonized mice displayed "relatively higher microbial diversity" (Chao1 index). At the phylum level, there was a "significantly higher" abundance of Bacteroidetes members and a "lower" abundance of Firmicutes.</w:t>
      </w:r>
    </w:p>
    <w:p w14:paraId="70D23EAC" w14:textId="77777777" w:rsidR="00C90FCF" w:rsidRPr="00C90FCF" w:rsidRDefault="00C90FCF" w:rsidP="00C90F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</w:pPr>
      <w:r w:rsidRPr="00C90FCF">
        <w:rPr>
          <w:rFonts w:ascii="Google Sans" w:eastAsia="Times New Roman" w:hAnsi="Google Sans" w:cs="Times New Roman"/>
          <w:b/>
          <w:bCs/>
          <w:color w:val="131314"/>
          <w:kern w:val="0"/>
          <w:sz w:val="20"/>
          <w:szCs w:val="20"/>
          <w14:ligatures w14:val="none"/>
        </w:rPr>
        <w:t>Genus-Level Changes:</w:t>
      </w:r>
      <w:r w:rsidRPr="00C90FCF"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  <w:t xml:space="preserve"> Specifically, "lower abundance of Lactobacillus and higher abundance of Bacteroides were observed in BF-</w:t>
      </w:r>
      <w:proofErr w:type="spellStart"/>
      <w:r w:rsidRPr="00C90FCF"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  <w:t>colonised</w:t>
      </w:r>
      <w:proofErr w:type="spellEnd"/>
      <w:r w:rsidRPr="00C90FCF"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  <w:t xml:space="preserve"> mice compared to control counterparts."</w:t>
      </w:r>
    </w:p>
    <w:p w14:paraId="4CBB3442" w14:textId="77777777" w:rsidR="00C90FCF" w:rsidRPr="00C90FCF" w:rsidRDefault="00C90FCF" w:rsidP="00C90F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</w:pPr>
      <w:r w:rsidRPr="00C90FCF">
        <w:rPr>
          <w:rFonts w:ascii="Google Sans" w:eastAsia="Times New Roman" w:hAnsi="Google Sans" w:cs="Times New Roman"/>
          <w:b/>
          <w:bCs/>
          <w:color w:val="131314"/>
          <w:kern w:val="0"/>
          <w:sz w:val="20"/>
          <w:szCs w:val="20"/>
          <w14:ligatures w14:val="none"/>
        </w:rPr>
        <w:t>Lasting Impact Even After Conventionalization:</w:t>
      </w:r>
      <w:r w:rsidRPr="00C90FCF"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  <w:t xml:space="preserve"> Even when BF-</w:t>
      </w:r>
      <w:proofErr w:type="spellStart"/>
      <w:r w:rsidRPr="00C90FCF"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  <w:t>monocolonized</w:t>
      </w:r>
      <w:proofErr w:type="spellEnd"/>
      <w:r w:rsidRPr="00C90FCF"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  <w:t xml:space="preserve"> mice were conventionalized with a complex SPF microbiota, BF continued to influence the acquisition and persistence of other microbial communities. "Significant differences in the α- and β-diversity measures were observed between Ex-GF and Ex-BF mice, with higher microbial diversity in Ex-BF mice at both 4- and 8-week time points."</w:t>
      </w:r>
    </w:p>
    <w:p w14:paraId="44D0B7D8" w14:textId="77777777" w:rsidR="00C90FCF" w:rsidRPr="00C90FCF" w:rsidRDefault="00C90FCF" w:rsidP="00C90F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</w:pPr>
      <w:r w:rsidRPr="00C90FCF">
        <w:rPr>
          <w:rFonts w:ascii="Google Sans" w:eastAsia="Times New Roman" w:hAnsi="Google Sans" w:cs="Times New Roman"/>
          <w:b/>
          <w:bCs/>
          <w:color w:val="131314"/>
          <w:kern w:val="0"/>
          <w:sz w:val="20"/>
          <w:szCs w:val="20"/>
          <w14:ligatures w14:val="none"/>
        </w:rPr>
        <w:t>Suppression of Beneficial Mucin Degraders:</w:t>
      </w:r>
      <w:r w:rsidRPr="00C90FCF"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  <w:t xml:space="preserve"> The presence of BF profoundly reduced the abundance of </w:t>
      </w:r>
      <w:proofErr w:type="spellStart"/>
      <w:r w:rsidRPr="00C90FCF">
        <w:rPr>
          <w:rFonts w:ascii="Google Sans" w:eastAsia="Times New Roman" w:hAnsi="Google Sans" w:cs="Times New Roman"/>
          <w:i/>
          <w:iCs/>
          <w:color w:val="131314"/>
          <w:kern w:val="0"/>
          <w:sz w:val="20"/>
          <w:szCs w:val="20"/>
          <w14:ligatures w14:val="none"/>
        </w:rPr>
        <w:t>Akkermansia</w:t>
      </w:r>
      <w:proofErr w:type="spellEnd"/>
      <w:r w:rsidRPr="00C90FCF">
        <w:rPr>
          <w:rFonts w:ascii="Google Sans" w:eastAsia="Times New Roman" w:hAnsi="Google Sans" w:cs="Times New Roman"/>
          <w:i/>
          <w:iCs/>
          <w:color w:val="131314"/>
          <w:kern w:val="0"/>
          <w:sz w:val="20"/>
          <w:szCs w:val="20"/>
          <w14:ligatures w14:val="none"/>
        </w:rPr>
        <w:t xml:space="preserve"> </w:t>
      </w:r>
      <w:proofErr w:type="spellStart"/>
      <w:r w:rsidRPr="00C90FCF">
        <w:rPr>
          <w:rFonts w:ascii="Google Sans" w:eastAsia="Times New Roman" w:hAnsi="Google Sans" w:cs="Times New Roman"/>
          <w:i/>
          <w:iCs/>
          <w:color w:val="131314"/>
          <w:kern w:val="0"/>
          <w:sz w:val="20"/>
          <w:szCs w:val="20"/>
          <w14:ligatures w14:val="none"/>
        </w:rPr>
        <w:t>muciniphila</w:t>
      </w:r>
      <w:proofErr w:type="spellEnd"/>
      <w:r w:rsidRPr="00C90FCF"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  <w:t xml:space="preserve"> and </w:t>
      </w:r>
      <w:r w:rsidRPr="00C90FCF">
        <w:rPr>
          <w:rFonts w:ascii="Google Sans" w:eastAsia="Times New Roman" w:hAnsi="Google Sans" w:cs="Times New Roman"/>
          <w:i/>
          <w:iCs/>
          <w:color w:val="131314"/>
          <w:kern w:val="0"/>
          <w:sz w:val="20"/>
          <w:szCs w:val="20"/>
          <w14:ligatures w14:val="none"/>
        </w:rPr>
        <w:t xml:space="preserve">Parabacteroides </w:t>
      </w:r>
      <w:proofErr w:type="spellStart"/>
      <w:r w:rsidRPr="00C90FCF">
        <w:rPr>
          <w:rFonts w:ascii="Google Sans" w:eastAsia="Times New Roman" w:hAnsi="Google Sans" w:cs="Times New Roman"/>
          <w:i/>
          <w:iCs/>
          <w:color w:val="131314"/>
          <w:kern w:val="0"/>
          <w:sz w:val="20"/>
          <w:szCs w:val="20"/>
          <w14:ligatures w14:val="none"/>
        </w:rPr>
        <w:t>distasonis</w:t>
      </w:r>
      <w:proofErr w:type="spellEnd"/>
      <w:r w:rsidRPr="00C90FCF"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  <w:t xml:space="preserve">, while increasing </w:t>
      </w:r>
      <w:proofErr w:type="spellStart"/>
      <w:r w:rsidRPr="00C90FCF">
        <w:rPr>
          <w:rFonts w:ascii="Google Sans" w:eastAsia="Times New Roman" w:hAnsi="Google Sans" w:cs="Times New Roman"/>
          <w:i/>
          <w:iCs/>
          <w:color w:val="131314"/>
          <w:kern w:val="0"/>
          <w:sz w:val="20"/>
          <w:szCs w:val="20"/>
          <w14:ligatures w14:val="none"/>
        </w:rPr>
        <w:t>Muribaculum</w:t>
      </w:r>
      <w:proofErr w:type="spellEnd"/>
      <w:r w:rsidRPr="00C90FCF">
        <w:rPr>
          <w:rFonts w:ascii="Google Sans" w:eastAsia="Times New Roman" w:hAnsi="Google Sans" w:cs="Times New Roman"/>
          <w:i/>
          <w:iCs/>
          <w:color w:val="131314"/>
          <w:kern w:val="0"/>
          <w:sz w:val="20"/>
          <w:szCs w:val="20"/>
          <w14:ligatures w14:val="none"/>
        </w:rPr>
        <w:t xml:space="preserve"> </w:t>
      </w:r>
      <w:proofErr w:type="spellStart"/>
      <w:r w:rsidRPr="00C90FCF">
        <w:rPr>
          <w:rFonts w:ascii="Google Sans" w:eastAsia="Times New Roman" w:hAnsi="Google Sans" w:cs="Times New Roman"/>
          <w:i/>
          <w:iCs/>
          <w:color w:val="131314"/>
          <w:kern w:val="0"/>
          <w:sz w:val="20"/>
          <w:szCs w:val="20"/>
          <w14:ligatures w14:val="none"/>
        </w:rPr>
        <w:t>intestinale</w:t>
      </w:r>
      <w:proofErr w:type="spellEnd"/>
      <w:r w:rsidRPr="00C90FCF"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  <w:t xml:space="preserve"> and </w:t>
      </w:r>
      <w:proofErr w:type="spellStart"/>
      <w:r w:rsidRPr="00C90FCF">
        <w:rPr>
          <w:rFonts w:ascii="Google Sans" w:eastAsia="Times New Roman" w:hAnsi="Google Sans" w:cs="Times New Roman"/>
          <w:i/>
          <w:iCs/>
          <w:color w:val="131314"/>
          <w:kern w:val="0"/>
          <w:sz w:val="20"/>
          <w:szCs w:val="20"/>
          <w14:ligatures w14:val="none"/>
        </w:rPr>
        <w:t>Barnesiella</w:t>
      </w:r>
      <w:proofErr w:type="spellEnd"/>
      <w:r w:rsidRPr="00C90FCF">
        <w:rPr>
          <w:rFonts w:ascii="Google Sans" w:eastAsia="Times New Roman" w:hAnsi="Google Sans" w:cs="Times New Roman"/>
          <w:i/>
          <w:iCs/>
          <w:color w:val="131314"/>
          <w:kern w:val="0"/>
          <w:sz w:val="20"/>
          <w:szCs w:val="20"/>
          <w14:ligatures w14:val="none"/>
        </w:rPr>
        <w:t xml:space="preserve"> </w:t>
      </w:r>
      <w:proofErr w:type="spellStart"/>
      <w:r w:rsidRPr="00C90FCF">
        <w:rPr>
          <w:rFonts w:ascii="Google Sans" w:eastAsia="Times New Roman" w:hAnsi="Google Sans" w:cs="Times New Roman"/>
          <w:i/>
          <w:iCs/>
          <w:color w:val="131314"/>
          <w:kern w:val="0"/>
          <w:sz w:val="20"/>
          <w:szCs w:val="20"/>
          <w14:ligatures w14:val="none"/>
        </w:rPr>
        <w:t>intestinihominis</w:t>
      </w:r>
      <w:proofErr w:type="spellEnd"/>
      <w:r w:rsidRPr="00C90FCF"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  <w:t xml:space="preserve">. The decrease in </w:t>
      </w:r>
      <w:r w:rsidRPr="00C90FCF">
        <w:rPr>
          <w:rFonts w:ascii="Google Sans" w:eastAsia="Times New Roman" w:hAnsi="Google Sans" w:cs="Times New Roman"/>
          <w:i/>
          <w:iCs/>
          <w:color w:val="131314"/>
          <w:kern w:val="0"/>
          <w:sz w:val="20"/>
          <w:szCs w:val="20"/>
          <w14:ligatures w14:val="none"/>
        </w:rPr>
        <w:t xml:space="preserve">A. </w:t>
      </w:r>
      <w:proofErr w:type="spellStart"/>
      <w:r w:rsidRPr="00C90FCF">
        <w:rPr>
          <w:rFonts w:ascii="Google Sans" w:eastAsia="Times New Roman" w:hAnsi="Google Sans" w:cs="Times New Roman"/>
          <w:i/>
          <w:iCs/>
          <w:color w:val="131314"/>
          <w:kern w:val="0"/>
          <w:sz w:val="20"/>
          <w:szCs w:val="20"/>
          <w14:ligatures w14:val="none"/>
        </w:rPr>
        <w:t>muciniphila</w:t>
      </w:r>
      <w:proofErr w:type="spellEnd"/>
      <w:r w:rsidRPr="00C90FCF"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  <w:t xml:space="preserve"> was particularly pronounced, with "near complete absence of this species in Ex-BF mice at the 8-week time point." This suggests competitive interactions within the colonic niche.</w:t>
      </w:r>
    </w:p>
    <w:p w14:paraId="1629BA94" w14:textId="77777777" w:rsidR="00C90FCF" w:rsidRPr="00C90FCF" w:rsidRDefault="00C90FCF" w:rsidP="00C90FCF">
      <w:pPr>
        <w:shd w:val="clear" w:color="auto" w:fill="FFFFFF"/>
        <w:spacing w:after="0" w:line="660" w:lineRule="atLeast"/>
        <w:outlineLvl w:val="2"/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</w:pPr>
      <w:r w:rsidRPr="00C90FCF"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  <w:t xml:space="preserve">2.3. </w:t>
      </w:r>
      <w:r w:rsidRPr="00C90FCF">
        <w:rPr>
          <w:rFonts w:ascii="Google Sans" w:eastAsia="Times New Roman" w:hAnsi="Google Sans" w:cs="Times New Roman"/>
          <w:i/>
          <w:iCs/>
          <w:color w:val="131314"/>
          <w:kern w:val="0"/>
          <w:sz w:val="20"/>
          <w:szCs w:val="20"/>
          <w14:ligatures w14:val="none"/>
        </w:rPr>
        <w:t>Bacteroides fragilis</w:t>
      </w:r>
      <w:r w:rsidRPr="00C90FCF"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  <w:t xml:space="preserve"> Suppresses Mucin Production in the Distal Gut</w:t>
      </w:r>
    </w:p>
    <w:p w14:paraId="59E782D3" w14:textId="77777777" w:rsidR="00C90FCF" w:rsidRPr="00C90FCF" w:rsidRDefault="00C90FCF" w:rsidP="00C90F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</w:pPr>
      <w:r w:rsidRPr="00C90FCF">
        <w:rPr>
          <w:rFonts w:ascii="Google Sans" w:eastAsia="Times New Roman" w:hAnsi="Google Sans" w:cs="Times New Roman"/>
          <w:b/>
          <w:bCs/>
          <w:color w:val="131314"/>
          <w:kern w:val="0"/>
          <w:sz w:val="20"/>
          <w:szCs w:val="20"/>
          <w14:ligatures w14:val="none"/>
        </w:rPr>
        <w:t>Downregulation of Mucin Genes:</w:t>
      </w:r>
      <w:r w:rsidRPr="00C90FCF"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  <w:t xml:space="preserve"> Bulk </w:t>
      </w:r>
      <w:proofErr w:type="spellStart"/>
      <w:r w:rsidRPr="00C90FCF"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  <w:t>RNAseq</w:t>
      </w:r>
      <w:proofErr w:type="spellEnd"/>
      <w:r w:rsidRPr="00C90FCF"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  <w:t xml:space="preserve"> analysis of distal colon tissues revealed that BF colonization, even in </w:t>
      </w:r>
      <w:proofErr w:type="spellStart"/>
      <w:r w:rsidRPr="00C90FCF"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  <w:t>monocolonized</w:t>
      </w:r>
      <w:proofErr w:type="spellEnd"/>
      <w:r w:rsidRPr="00C90FCF"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  <w:t xml:space="preserve"> mice and conventionalized mice, led to the "downregulation of the mucin biosynthesis pathway along with profoundly diminished expression of Muc2 and other mucin genes." </w:t>
      </w:r>
      <w:r w:rsidRPr="00C90FCF">
        <w:rPr>
          <w:rFonts w:ascii="Google Sans" w:eastAsia="Times New Roman" w:hAnsi="Google Sans" w:cs="Times New Roman"/>
          <w:i/>
          <w:iCs/>
          <w:color w:val="131314"/>
          <w:kern w:val="0"/>
          <w:sz w:val="20"/>
          <w:szCs w:val="20"/>
          <w14:ligatures w14:val="none"/>
        </w:rPr>
        <w:t>MUC2</w:t>
      </w:r>
      <w:r w:rsidRPr="00C90FCF"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  <w:t xml:space="preserve"> and </w:t>
      </w:r>
      <w:r w:rsidRPr="00C90FCF">
        <w:rPr>
          <w:rFonts w:ascii="Google Sans" w:eastAsia="Times New Roman" w:hAnsi="Google Sans" w:cs="Times New Roman"/>
          <w:i/>
          <w:iCs/>
          <w:color w:val="131314"/>
          <w:kern w:val="0"/>
          <w:sz w:val="20"/>
          <w:szCs w:val="20"/>
          <w14:ligatures w14:val="none"/>
        </w:rPr>
        <w:t>Gcnt3</w:t>
      </w:r>
      <w:r w:rsidRPr="00C90FCF"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  <w:t xml:space="preserve"> (mucin synthesis-associated gene) expressions were downregulated.</w:t>
      </w:r>
    </w:p>
    <w:p w14:paraId="2192C84C" w14:textId="77777777" w:rsidR="00C90FCF" w:rsidRPr="00C90FCF" w:rsidRDefault="00C90FCF" w:rsidP="00C90F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</w:pPr>
      <w:r w:rsidRPr="00C90FCF">
        <w:rPr>
          <w:rFonts w:ascii="Google Sans" w:eastAsia="Times New Roman" w:hAnsi="Google Sans" w:cs="Times New Roman"/>
          <w:b/>
          <w:bCs/>
          <w:color w:val="131314"/>
          <w:kern w:val="0"/>
          <w:sz w:val="20"/>
          <w:szCs w:val="20"/>
          <w14:ligatures w14:val="none"/>
        </w:rPr>
        <w:t>Reduced Mucin Protein Levels:</w:t>
      </w:r>
      <w:r w:rsidRPr="00C90FCF"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  <w:t xml:space="preserve"> Immunofluorescence and histochemical staining confirmed "considerably weaker staining of Muc2+ cells in Ex-BF mice compared to Ex-GF NOD mice" in the distal colon. This effect was localized, as ileum sections showed no significant difference.</w:t>
      </w:r>
    </w:p>
    <w:p w14:paraId="171AD7D0" w14:textId="77777777" w:rsidR="00C90FCF" w:rsidRPr="00C90FCF" w:rsidRDefault="00C90FCF" w:rsidP="00C90F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</w:pPr>
      <w:r w:rsidRPr="00C90FCF">
        <w:rPr>
          <w:rFonts w:ascii="Google Sans" w:eastAsia="Times New Roman" w:hAnsi="Google Sans" w:cs="Times New Roman"/>
          <w:b/>
          <w:bCs/>
          <w:color w:val="131314"/>
          <w:kern w:val="0"/>
          <w:sz w:val="20"/>
          <w:szCs w:val="20"/>
          <w14:ligatures w14:val="none"/>
        </w:rPr>
        <w:t>Mechanism of Microbiota Alteration:</w:t>
      </w:r>
      <w:r w:rsidRPr="00C90FCF"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  <w:t xml:space="preserve"> The study proposes that "BF and/or BF-shaped gut microbiota restrict the </w:t>
      </w:r>
      <w:proofErr w:type="spellStart"/>
      <w:r w:rsidRPr="00C90FCF"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  <w:t>colonisation</w:t>
      </w:r>
      <w:proofErr w:type="spellEnd"/>
      <w:r w:rsidRPr="00C90FCF"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  <w:t xml:space="preserve"> of mucin degrading bacteria, particularly A. </w:t>
      </w:r>
      <w:proofErr w:type="spellStart"/>
      <w:r w:rsidRPr="00C90FCF"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  <w:t>muciniphila</w:t>
      </w:r>
      <w:proofErr w:type="spellEnd"/>
      <w:r w:rsidRPr="00C90FCF"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  <w:t xml:space="preserve"> and P. </w:t>
      </w:r>
      <w:proofErr w:type="spellStart"/>
      <w:r w:rsidRPr="00C90FCF"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  <w:t>distasonis</w:t>
      </w:r>
      <w:proofErr w:type="spellEnd"/>
      <w:r w:rsidRPr="00C90FCF"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  <w:t xml:space="preserve">, by suppressing mucin production in the distal gut." This creates an environment unfavorable for mucin-dependent bacteria like </w:t>
      </w:r>
      <w:r w:rsidRPr="00C90FCF">
        <w:rPr>
          <w:rFonts w:ascii="Google Sans" w:eastAsia="Times New Roman" w:hAnsi="Google Sans" w:cs="Times New Roman"/>
          <w:i/>
          <w:iCs/>
          <w:color w:val="131314"/>
          <w:kern w:val="0"/>
          <w:sz w:val="20"/>
          <w:szCs w:val="20"/>
          <w14:ligatures w14:val="none"/>
        </w:rPr>
        <w:t xml:space="preserve">A. </w:t>
      </w:r>
      <w:proofErr w:type="spellStart"/>
      <w:r w:rsidRPr="00C90FCF">
        <w:rPr>
          <w:rFonts w:ascii="Google Sans" w:eastAsia="Times New Roman" w:hAnsi="Google Sans" w:cs="Times New Roman"/>
          <w:i/>
          <w:iCs/>
          <w:color w:val="131314"/>
          <w:kern w:val="0"/>
          <w:sz w:val="20"/>
          <w:szCs w:val="20"/>
          <w14:ligatures w14:val="none"/>
        </w:rPr>
        <w:t>muciniphila</w:t>
      </w:r>
      <w:proofErr w:type="spellEnd"/>
      <w:r w:rsidRPr="00C90FCF"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  <w:t>.</w:t>
      </w:r>
    </w:p>
    <w:p w14:paraId="7BD615FC" w14:textId="77777777" w:rsidR="00C90FCF" w:rsidRPr="00C90FCF" w:rsidRDefault="00C90FCF" w:rsidP="00C90F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</w:pPr>
      <w:r w:rsidRPr="00C90FCF">
        <w:rPr>
          <w:rFonts w:ascii="Google Sans" w:eastAsia="Times New Roman" w:hAnsi="Google Sans" w:cs="Times New Roman"/>
          <w:b/>
          <w:bCs/>
          <w:color w:val="131314"/>
          <w:kern w:val="0"/>
          <w:sz w:val="20"/>
          <w:szCs w:val="20"/>
          <w14:ligatures w14:val="none"/>
        </w:rPr>
        <w:t>Pro-inflammatory Gene Upregulation:</w:t>
      </w:r>
      <w:r w:rsidRPr="00C90FCF"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  <w:t xml:space="preserve"> Alongside mucin suppression, the presence of BF resulted in the "upregulation of many immunological pathways, including those related to Th1, Th2 and Th17 differentiation, B cell receptor </w:t>
      </w:r>
      <w:proofErr w:type="spellStart"/>
      <w:r w:rsidRPr="00C90FCF"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  <w:t>signalling</w:t>
      </w:r>
      <w:proofErr w:type="spellEnd"/>
      <w:r w:rsidRPr="00C90FCF"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  <w:t xml:space="preserve"> and IgA production, and autoimmune and inflammatory bowel diseases."</w:t>
      </w:r>
    </w:p>
    <w:p w14:paraId="5F165311" w14:textId="77777777" w:rsidR="00C90FCF" w:rsidRPr="00C90FCF" w:rsidRDefault="00C90FCF" w:rsidP="00C90FCF">
      <w:pPr>
        <w:shd w:val="clear" w:color="auto" w:fill="FFFFFF"/>
        <w:spacing w:after="0" w:line="660" w:lineRule="atLeast"/>
        <w:outlineLvl w:val="2"/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</w:pPr>
      <w:r w:rsidRPr="00C90FCF"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  <w:t>2.4. Persistence of BF's Impact and Dual Mechanisms</w:t>
      </w:r>
    </w:p>
    <w:p w14:paraId="767D8A04" w14:textId="77777777" w:rsidR="00C90FCF" w:rsidRPr="00C90FCF" w:rsidRDefault="00C90FCF" w:rsidP="00C90FC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</w:pPr>
      <w:r w:rsidRPr="00C90FCF">
        <w:rPr>
          <w:rFonts w:ascii="Google Sans" w:eastAsia="Times New Roman" w:hAnsi="Google Sans" w:cs="Times New Roman"/>
          <w:b/>
          <w:bCs/>
          <w:color w:val="131314"/>
          <w:kern w:val="0"/>
          <w:sz w:val="20"/>
          <w:szCs w:val="20"/>
          <w14:ligatures w14:val="none"/>
        </w:rPr>
        <w:t>Lasting Impact on Pathogenesis:</w:t>
      </w:r>
      <w:r w:rsidRPr="00C90FCF"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  <w:t xml:space="preserve"> The accelerated T1D disease process "persisted in BF-</w:t>
      </w:r>
      <w:proofErr w:type="spellStart"/>
      <w:r w:rsidRPr="00C90FCF"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  <w:t>monocolonised</w:t>
      </w:r>
      <w:proofErr w:type="spellEnd"/>
      <w:r w:rsidRPr="00C90FCF"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  <w:t xml:space="preserve"> mice even after conventionalization with complex microbial communities from SPF mice," indicating that early-life BF exposure has a long-term, lasting impact on disease trajectory.</w:t>
      </w:r>
    </w:p>
    <w:p w14:paraId="4924A94C" w14:textId="77777777" w:rsidR="00C90FCF" w:rsidRPr="00C90FCF" w:rsidRDefault="00C90FCF" w:rsidP="00C90FC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</w:pPr>
      <w:r w:rsidRPr="00C90FCF">
        <w:rPr>
          <w:rFonts w:ascii="Google Sans" w:eastAsia="Times New Roman" w:hAnsi="Google Sans" w:cs="Times New Roman"/>
          <w:b/>
          <w:bCs/>
          <w:color w:val="131314"/>
          <w:kern w:val="0"/>
          <w:sz w:val="20"/>
          <w:szCs w:val="20"/>
          <w14:ligatures w14:val="none"/>
        </w:rPr>
        <w:t>Proposed Dual Mechanisms:</w:t>
      </w:r>
      <w:r w:rsidRPr="00C90FCF"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  <w:t xml:space="preserve"> The authors suggest two modes by which early-life BF colonization perpetuates inflammatory responses in genetically susceptible individuals:</w:t>
      </w:r>
    </w:p>
    <w:p w14:paraId="1E7FAD64" w14:textId="77777777" w:rsidR="00C90FCF" w:rsidRPr="00C90FCF" w:rsidRDefault="00C90FCF" w:rsidP="00C90FC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</w:pPr>
      <w:r w:rsidRPr="00C90FCF"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  <w:t>"</w:t>
      </w:r>
      <w:proofErr w:type="gramStart"/>
      <w:r w:rsidRPr="00C90FCF"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  <w:t>the</w:t>
      </w:r>
      <w:proofErr w:type="gramEnd"/>
      <w:r w:rsidRPr="00C90FCF"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  <w:t xml:space="preserve"> presence of BF in the gut at early ages can lead to a TLR2-dependent inflammatory response in the systemic compartment due to an underdeveloped epithelial barrier and higher gut permeability"</w:t>
      </w:r>
    </w:p>
    <w:p w14:paraId="232B9492" w14:textId="77777777" w:rsidR="00C90FCF" w:rsidRPr="00C90FCF" w:rsidRDefault="00C90FCF" w:rsidP="00C90FC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</w:pPr>
      <w:r w:rsidRPr="00C90FCF"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  <w:t xml:space="preserve">"BF influences gut microbial community structure and function by actively suppressing </w:t>
      </w:r>
      <w:proofErr w:type="spellStart"/>
      <w:r w:rsidRPr="00C90FCF"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  <w:t>colonisation</w:t>
      </w:r>
      <w:proofErr w:type="spellEnd"/>
      <w:r w:rsidRPr="00C90FCF"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  <w:t xml:space="preserve"> by commensal communities with the ability to promote immune regulation, gut integrity, and protection from T1D."</w:t>
      </w:r>
    </w:p>
    <w:p w14:paraId="59EF6434" w14:textId="77777777" w:rsidR="00C90FCF" w:rsidRPr="00C90FCF" w:rsidRDefault="00C90FCF" w:rsidP="00C90FCF">
      <w:pPr>
        <w:shd w:val="clear" w:color="auto" w:fill="FFFFFF"/>
        <w:spacing w:after="0" w:line="780" w:lineRule="atLeast"/>
        <w:outlineLvl w:val="1"/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</w:pPr>
      <w:r w:rsidRPr="00C90FCF"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  <w:lastRenderedPageBreak/>
        <w:t>3. Implications and Significance</w:t>
      </w:r>
    </w:p>
    <w:p w14:paraId="4FE3FD73" w14:textId="77777777" w:rsidR="00C90FCF" w:rsidRPr="00C90FCF" w:rsidRDefault="00C90FCF" w:rsidP="00C90FC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</w:pPr>
      <w:r w:rsidRPr="00C90FCF">
        <w:rPr>
          <w:rFonts w:ascii="Google Sans" w:eastAsia="Times New Roman" w:hAnsi="Google Sans" w:cs="Times New Roman"/>
          <w:b/>
          <w:bCs/>
          <w:color w:val="131314"/>
          <w:kern w:val="0"/>
          <w:sz w:val="20"/>
          <w:szCs w:val="20"/>
          <w14:ligatures w14:val="none"/>
        </w:rPr>
        <w:t>Clinical Relevance to T1D:</w:t>
      </w:r>
      <w:r w:rsidRPr="00C90FCF"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  <w:t xml:space="preserve"> This research strengthens the link between gut microbiota composition, particularly the abundance of </w:t>
      </w:r>
      <w:r w:rsidRPr="00C90FCF">
        <w:rPr>
          <w:rFonts w:ascii="Google Sans" w:eastAsia="Times New Roman" w:hAnsi="Google Sans" w:cs="Times New Roman"/>
          <w:i/>
          <w:iCs/>
          <w:color w:val="131314"/>
          <w:kern w:val="0"/>
          <w:sz w:val="20"/>
          <w:szCs w:val="20"/>
          <w14:ligatures w14:val="none"/>
        </w:rPr>
        <w:t>Bacteroides</w:t>
      </w:r>
      <w:r w:rsidRPr="00C90FCF"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  <w:t xml:space="preserve"> species, and T1D susceptibility in humans. Higher </w:t>
      </w:r>
      <w:proofErr w:type="spellStart"/>
      <w:r w:rsidRPr="00C90FCF"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  <w:t>Bacteroidetes:Firmicutes</w:t>
      </w:r>
      <w:proofErr w:type="spellEnd"/>
      <w:r w:rsidRPr="00C90FCF"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  <w:t xml:space="preserve"> ratios and </w:t>
      </w:r>
      <w:r w:rsidRPr="00C90FCF">
        <w:rPr>
          <w:rFonts w:ascii="Google Sans" w:eastAsia="Times New Roman" w:hAnsi="Google Sans" w:cs="Times New Roman"/>
          <w:i/>
          <w:iCs/>
          <w:color w:val="131314"/>
          <w:kern w:val="0"/>
          <w:sz w:val="20"/>
          <w:szCs w:val="20"/>
          <w14:ligatures w14:val="none"/>
        </w:rPr>
        <w:t>Bacteroides</w:t>
      </w:r>
      <w:r w:rsidRPr="00C90FCF"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  <w:t xml:space="preserve"> abundance have been noted in T1D patients and at-risk children.</w:t>
      </w:r>
    </w:p>
    <w:p w14:paraId="787F0774" w14:textId="77777777" w:rsidR="00C90FCF" w:rsidRPr="00C90FCF" w:rsidRDefault="00C90FCF" w:rsidP="00C90FC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</w:pPr>
      <w:r w:rsidRPr="00C90FCF">
        <w:rPr>
          <w:rFonts w:ascii="Google Sans" w:eastAsia="Times New Roman" w:hAnsi="Google Sans" w:cs="Times New Roman"/>
          <w:b/>
          <w:bCs/>
          <w:color w:val="131314"/>
          <w:kern w:val="0"/>
          <w:sz w:val="20"/>
          <w:szCs w:val="20"/>
          <w14:ligatures w14:val="none"/>
        </w:rPr>
        <w:t>Paradoxical Role of Commensals:</w:t>
      </w:r>
      <w:r w:rsidRPr="00C90FCF"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  <w:t xml:space="preserve"> While </w:t>
      </w:r>
      <w:r w:rsidRPr="00C90FCF">
        <w:rPr>
          <w:rFonts w:ascii="Google Sans" w:eastAsia="Times New Roman" w:hAnsi="Google Sans" w:cs="Times New Roman"/>
          <w:i/>
          <w:iCs/>
          <w:color w:val="131314"/>
          <w:kern w:val="0"/>
          <w:sz w:val="20"/>
          <w:szCs w:val="20"/>
          <w14:ligatures w14:val="none"/>
        </w:rPr>
        <w:t>Bacteroides fragilis</w:t>
      </w:r>
      <w:r w:rsidRPr="00C90FCF"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  <w:t xml:space="preserve"> is generally considered a beneficial commensal and its polysaccharide A (PSA) has immunoregulatory properties, this study highlights that its effects can be context-dependent (e.g., early-life exposure, systemic vs. mucosal presence) and even detrimental in genetically susceptible individuals.</w:t>
      </w:r>
    </w:p>
    <w:p w14:paraId="3C4DF5CF" w14:textId="77777777" w:rsidR="00C90FCF" w:rsidRPr="00C90FCF" w:rsidRDefault="00C90FCF" w:rsidP="00C90FC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</w:pPr>
      <w:r w:rsidRPr="00C90FCF">
        <w:rPr>
          <w:rFonts w:ascii="Google Sans" w:eastAsia="Times New Roman" w:hAnsi="Google Sans" w:cs="Times New Roman"/>
          <w:b/>
          <w:bCs/>
          <w:color w:val="131314"/>
          <w:kern w:val="0"/>
          <w:sz w:val="20"/>
          <w:szCs w:val="20"/>
          <w14:ligatures w14:val="none"/>
        </w:rPr>
        <w:t>Mucin as a Key Mediator:</w:t>
      </w:r>
      <w:r w:rsidRPr="00C90FCF"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  <w:t xml:space="preserve"> The suppression of mucin production by BF emerges as a critical mechanism. Mucin is essential for gut barrier integrity and influences the niche for various mucin-degrading bacteria. Its reduction by BF detrimentally impacts the colonization of protective bacteria like </w:t>
      </w:r>
      <w:r w:rsidRPr="00C90FCF">
        <w:rPr>
          <w:rFonts w:ascii="Google Sans" w:eastAsia="Times New Roman" w:hAnsi="Google Sans" w:cs="Times New Roman"/>
          <w:i/>
          <w:iCs/>
          <w:color w:val="131314"/>
          <w:kern w:val="0"/>
          <w:sz w:val="20"/>
          <w:szCs w:val="20"/>
          <w14:ligatures w14:val="none"/>
        </w:rPr>
        <w:t xml:space="preserve">A. </w:t>
      </w:r>
      <w:proofErr w:type="spellStart"/>
      <w:r w:rsidRPr="00C90FCF">
        <w:rPr>
          <w:rFonts w:ascii="Google Sans" w:eastAsia="Times New Roman" w:hAnsi="Google Sans" w:cs="Times New Roman"/>
          <w:i/>
          <w:iCs/>
          <w:color w:val="131314"/>
          <w:kern w:val="0"/>
          <w:sz w:val="20"/>
          <w:szCs w:val="20"/>
          <w14:ligatures w14:val="none"/>
        </w:rPr>
        <w:t>muciniphila</w:t>
      </w:r>
      <w:proofErr w:type="spellEnd"/>
      <w:r w:rsidRPr="00C90FCF"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  <w:t xml:space="preserve"> that are associated with T1D protection.</w:t>
      </w:r>
    </w:p>
    <w:p w14:paraId="15DBEC08" w14:textId="77777777" w:rsidR="00C90FCF" w:rsidRPr="00C90FCF" w:rsidRDefault="00C90FCF" w:rsidP="00C90FC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</w:pPr>
      <w:r w:rsidRPr="00C90FCF">
        <w:rPr>
          <w:rFonts w:ascii="Google Sans" w:eastAsia="Times New Roman" w:hAnsi="Google Sans" w:cs="Times New Roman"/>
          <w:b/>
          <w:bCs/>
          <w:color w:val="131314"/>
          <w:kern w:val="0"/>
          <w:sz w:val="20"/>
          <w:szCs w:val="20"/>
          <w14:ligatures w14:val="none"/>
        </w:rPr>
        <w:t>Early-Life Interventions:</w:t>
      </w:r>
      <w:r w:rsidRPr="00C90FCF"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  <w:t xml:space="preserve"> The profound long-term consequences of early-life BF acquisition suggest a critical window for intervention in at-risk subjects. Understanding these mechanisms could lead to strategies to modulate gut microbiota early on to prevent T1D.</w:t>
      </w:r>
    </w:p>
    <w:p w14:paraId="30FA9C9D" w14:textId="77777777" w:rsidR="00C90FCF" w:rsidRPr="00C90FCF" w:rsidRDefault="00C90FCF" w:rsidP="00C90FC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</w:pPr>
      <w:r w:rsidRPr="00C90FCF">
        <w:rPr>
          <w:rFonts w:ascii="Google Sans" w:eastAsia="Times New Roman" w:hAnsi="Google Sans" w:cs="Times New Roman"/>
          <w:b/>
          <w:bCs/>
          <w:color w:val="131314"/>
          <w:kern w:val="0"/>
          <w:sz w:val="20"/>
          <w:szCs w:val="20"/>
          <w14:ligatures w14:val="none"/>
        </w:rPr>
        <w:t>Further Research:</w:t>
      </w:r>
      <w:r w:rsidRPr="00C90FCF"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  <w:t xml:space="preserve"> The study calls for further investigation into whether BF directly inhibits mucin production or if BF-shaped microbiota is responsible, and the precise metabolic pathways involved in the observed dysbiosis.</w:t>
      </w:r>
    </w:p>
    <w:p w14:paraId="1957053C" w14:textId="77777777" w:rsidR="00C90FCF" w:rsidRPr="00C90FCF" w:rsidRDefault="00C90FCF" w:rsidP="00C90FCF">
      <w:pPr>
        <w:shd w:val="clear" w:color="auto" w:fill="FFFFFF"/>
        <w:spacing w:after="0" w:line="780" w:lineRule="atLeast"/>
        <w:outlineLvl w:val="1"/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</w:pPr>
      <w:r w:rsidRPr="00C90FCF"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  <w:t>4. Supporting Facts and Data</w:t>
      </w:r>
    </w:p>
    <w:p w14:paraId="3A708C3D" w14:textId="77777777" w:rsidR="00C90FCF" w:rsidRPr="00C90FCF" w:rsidRDefault="00C90FCF" w:rsidP="00C90FC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</w:pPr>
      <w:r w:rsidRPr="00C90FCF">
        <w:rPr>
          <w:rFonts w:ascii="Google Sans" w:eastAsia="Times New Roman" w:hAnsi="Google Sans" w:cs="Times New Roman"/>
          <w:b/>
          <w:bCs/>
          <w:color w:val="131314"/>
          <w:kern w:val="0"/>
          <w:sz w:val="20"/>
          <w:szCs w:val="20"/>
          <w14:ligatures w14:val="none"/>
        </w:rPr>
        <w:t>Funding:</w:t>
      </w:r>
      <w:r w:rsidRPr="00C90FCF"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  <w:t xml:space="preserve"> Unrestricted research funds from MUSC and NIH grants R21AI133798 and R01DK136094. Gnotobiotic Animal Core funded by MUSC COBRE in Digestive and Liver Disease, NIH P20GM130457.</w:t>
      </w:r>
    </w:p>
    <w:p w14:paraId="0AC0D7E8" w14:textId="77777777" w:rsidR="00C90FCF" w:rsidRPr="00C90FCF" w:rsidRDefault="00C90FCF" w:rsidP="00C90FC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</w:pPr>
      <w:r w:rsidRPr="00C90FCF">
        <w:rPr>
          <w:rFonts w:ascii="Google Sans" w:eastAsia="Times New Roman" w:hAnsi="Google Sans" w:cs="Times New Roman"/>
          <w:b/>
          <w:bCs/>
          <w:color w:val="131314"/>
          <w:kern w:val="0"/>
          <w:sz w:val="20"/>
          <w:szCs w:val="20"/>
          <w14:ligatures w14:val="none"/>
        </w:rPr>
        <w:t>Animal Models:</w:t>
      </w:r>
      <w:r w:rsidRPr="00C90FCF"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  <w:t xml:space="preserve"> Specific pathogen-free (SPF) and germ-free (GF) non-obese diabetic (NOD) mice, including NOD-TLR2-KO and NOD-</w:t>
      </w:r>
      <w:proofErr w:type="spellStart"/>
      <w:r w:rsidRPr="00C90FCF"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  <w:t>Scid</w:t>
      </w:r>
      <w:proofErr w:type="spellEnd"/>
      <w:r w:rsidRPr="00C90FCF"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  <w:t xml:space="preserve"> mice.</w:t>
      </w:r>
    </w:p>
    <w:p w14:paraId="2327874C" w14:textId="77777777" w:rsidR="00C90FCF" w:rsidRPr="00C90FCF" w:rsidRDefault="00C90FCF" w:rsidP="00C90FC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</w:pPr>
      <w:r w:rsidRPr="00C90FCF">
        <w:rPr>
          <w:rFonts w:ascii="Google Sans" w:eastAsia="Times New Roman" w:hAnsi="Google Sans" w:cs="Times New Roman"/>
          <w:b/>
          <w:bCs/>
          <w:color w:val="131314"/>
          <w:kern w:val="0"/>
          <w:sz w:val="20"/>
          <w:szCs w:val="20"/>
          <w14:ligatures w14:val="none"/>
        </w:rPr>
        <w:t>Methodology:</w:t>
      </w:r>
      <w:r w:rsidRPr="00C90FCF"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  <w:t xml:space="preserve"> Oral gavage for BF colonization, weekly blood glucose monitoring, H&amp;E staining for insulitis severity, flow cytometry for immune cell profiling (</w:t>
      </w:r>
      <w:proofErr w:type="spellStart"/>
      <w:r w:rsidRPr="00C90FCF"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  <w:t>IFNγ</w:t>
      </w:r>
      <w:proofErr w:type="spellEnd"/>
      <w:r w:rsidRPr="00C90FCF"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  <w:t xml:space="preserve">+, IL6+, IL10+, Foxp3+ CD4 cells), multiplex cytokine assays, qPCR for gene expression and bacterial DNA levels, 16S rRNA gene sequencing for microbiota profiling (alpha and beta diversity, phyla/genus/species abundance), bulk </w:t>
      </w:r>
      <w:proofErr w:type="spellStart"/>
      <w:r w:rsidRPr="00C90FCF"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  <w:t>RNAseq</w:t>
      </w:r>
      <w:proofErr w:type="spellEnd"/>
      <w:r w:rsidRPr="00C90FCF"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  <w:t xml:space="preserve"> for gene expression analysis (up/downregulated genes, KEGG/GO pathway enrichment), adoptive cell transfer, and immunofluorescence/histochemical staining for mucin detection (Muc2, Alcian blue/PAS).</w:t>
      </w:r>
    </w:p>
    <w:p w14:paraId="3E7E21F0" w14:textId="77777777" w:rsidR="00C90FCF" w:rsidRPr="00C90FCF" w:rsidRDefault="00C90FCF" w:rsidP="00C90FC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</w:pPr>
      <w:r w:rsidRPr="00C90FCF">
        <w:rPr>
          <w:rFonts w:ascii="Google Sans" w:eastAsia="Times New Roman" w:hAnsi="Google Sans" w:cs="Times New Roman"/>
          <w:b/>
          <w:bCs/>
          <w:color w:val="131314"/>
          <w:kern w:val="0"/>
          <w:sz w:val="20"/>
          <w:szCs w:val="20"/>
          <w14:ligatures w14:val="none"/>
        </w:rPr>
        <w:t xml:space="preserve">Key </w:t>
      </w:r>
      <w:proofErr w:type="spellStart"/>
      <w:r w:rsidRPr="00C90FCF">
        <w:rPr>
          <w:rFonts w:ascii="Google Sans" w:eastAsia="Times New Roman" w:hAnsi="Google Sans" w:cs="Times New Roman"/>
          <w:b/>
          <w:bCs/>
          <w:color w:val="131314"/>
          <w:kern w:val="0"/>
          <w:sz w:val="20"/>
          <w:szCs w:val="20"/>
          <w14:ligatures w14:val="none"/>
        </w:rPr>
        <w:t>Observations:</w:t>
      </w:r>
      <w:r w:rsidRPr="00C90FCF"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  <w:t>BF</w:t>
      </w:r>
      <w:proofErr w:type="spellEnd"/>
      <w:r w:rsidRPr="00C90FCF"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  <w:t xml:space="preserve"> colonization at juvenile age: ~1 × 10^10 CFU for juvenile mice.</w:t>
      </w:r>
    </w:p>
    <w:p w14:paraId="07E8B7ED" w14:textId="77777777" w:rsidR="00C90FCF" w:rsidRPr="00C90FCF" w:rsidRDefault="00C90FCF" w:rsidP="00C90FC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</w:pPr>
      <w:r w:rsidRPr="00C90FCF"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  <w:t>Hyperglycemia threshold: &gt; 250 mg/dL for two consecutive weeks.</w:t>
      </w:r>
    </w:p>
    <w:p w14:paraId="05E4BA5F" w14:textId="77777777" w:rsidR="00C90FCF" w:rsidRPr="00C90FCF" w:rsidRDefault="00C90FCF" w:rsidP="00C90FC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</w:pPr>
      <w:r w:rsidRPr="00C90FCF"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  <w:t xml:space="preserve">BF-colonized mice in SPF facility: Accelerated hyperglycemia (p=0.0045), higher severe insulitis (p=0.019), higher </w:t>
      </w:r>
      <w:proofErr w:type="spellStart"/>
      <w:r w:rsidRPr="00C90FCF"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  <w:t>IFNγ</w:t>
      </w:r>
      <w:proofErr w:type="spellEnd"/>
      <w:r w:rsidRPr="00C90FCF"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  <w:t>+/IL6+ CD4 cells (p=0.0079, p=0.037), lower IL10+ CD4 cells (p=0.0397).</w:t>
      </w:r>
    </w:p>
    <w:p w14:paraId="32CE75A0" w14:textId="77777777" w:rsidR="00C90FCF" w:rsidRPr="00C90FCF" w:rsidRDefault="00C90FCF" w:rsidP="00C90FC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</w:pPr>
      <w:r w:rsidRPr="00C90FCF"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  <w:t>BF-</w:t>
      </w:r>
      <w:proofErr w:type="spellStart"/>
      <w:r w:rsidRPr="00C90FCF"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  <w:t>monocolonized</w:t>
      </w:r>
      <w:proofErr w:type="spellEnd"/>
      <w:r w:rsidRPr="00C90FCF"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  <w:t xml:space="preserve"> GF mice: Accelerated hyperglycemia (p=0.001), higher insulitis (p=0.0011), higher pro-inflammatory cytokines (IL6, IL12, TNFα, </w:t>
      </w:r>
      <w:proofErr w:type="spellStart"/>
      <w:r w:rsidRPr="00C90FCF"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  <w:t>IFNγ</w:t>
      </w:r>
      <w:proofErr w:type="spellEnd"/>
      <w:r w:rsidRPr="00C90FCF"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  <w:t xml:space="preserve">, IL17, IL18, IL13, GM-CSF, IL1β) and lower IL10/Ido1 mRNA in distal colon. Higher </w:t>
      </w:r>
      <w:proofErr w:type="spellStart"/>
      <w:r w:rsidRPr="00C90FCF"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  <w:t>IFNγ</w:t>
      </w:r>
      <w:proofErr w:type="spellEnd"/>
      <w:r w:rsidRPr="00C90FCF"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  <w:t xml:space="preserve">+ and lower Foxp3+ CD4 cells in </w:t>
      </w:r>
      <w:proofErr w:type="spellStart"/>
      <w:r w:rsidRPr="00C90FCF"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  <w:t>PnLN</w:t>
      </w:r>
      <w:proofErr w:type="spellEnd"/>
      <w:r w:rsidRPr="00C90FCF"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  <w:t xml:space="preserve"> (p=0.028).</w:t>
      </w:r>
    </w:p>
    <w:p w14:paraId="35834DEC" w14:textId="77777777" w:rsidR="00C90FCF" w:rsidRPr="00C90FCF" w:rsidRDefault="00C90FCF" w:rsidP="00C90FC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</w:pPr>
      <w:r w:rsidRPr="00C90FCF"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  <w:t>Conventionalized BF-</w:t>
      </w:r>
      <w:proofErr w:type="spellStart"/>
      <w:r w:rsidRPr="00C90FCF"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  <w:t>monocolonized</w:t>
      </w:r>
      <w:proofErr w:type="spellEnd"/>
      <w:r w:rsidRPr="00C90FCF"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  <w:t xml:space="preserve"> mice: Continued higher diabetes incidence (p=0.022) and insulitis (p=0.0104) compared to conventionalized GF mice. Reduced </w:t>
      </w:r>
      <w:proofErr w:type="spellStart"/>
      <w:r w:rsidRPr="00C90FCF">
        <w:rPr>
          <w:rFonts w:ascii="Google Sans" w:eastAsia="Times New Roman" w:hAnsi="Google Sans" w:cs="Times New Roman"/>
          <w:i/>
          <w:iCs/>
          <w:color w:val="131314"/>
          <w:kern w:val="0"/>
          <w:sz w:val="20"/>
          <w:szCs w:val="20"/>
          <w14:ligatures w14:val="none"/>
        </w:rPr>
        <w:t>Akkermansia</w:t>
      </w:r>
      <w:proofErr w:type="spellEnd"/>
      <w:r w:rsidRPr="00C90FCF">
        <w:rPr>
          <w:rFonts w:ascii="Google Sans" w:eastAsia="Times New Roman" w:hAnsi="Google Sans" w:cs="Times New Roman"/>
          <w:i/>
          <w:iCs/>
          <w:color w:val="131314"/>
          <w:kern w:val="0"/>
          <w:sz w:val="20"/>
          <w:szCs w:val="20"/>
          <w14:ligatures w14:val="none"/>
        </w:rPr>
        <w:t xml:space="preserve"> </w:t>
      </w:r>
      <w:proofErr w:type="spellStart"/>
      <w:r w:rsidRPr="00C90FCF">
        <w:rPr>
          <w:rFonts w:ascii="Google Sans" w:eastAsia="Times New Roman" w:hAnsi="Google Sans" w:cs="Times New Roman"/>
          <w:i/>
          <w:iCs/>
          <w:color w:val="131314"/>
          <w:kern w:val="0"/>
          <w:sz w:val="20"/>
          <w:szCs w:val="20"/>
          <w14:ligatures w14:val="none"/>
        </w:rPr>
        <w:t>muciniphila</w:t>
      </w:r>
      <w:proofErr w:type="spellEnd"/>
      <w:r w:rsidRPr="00C90FCF"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  <w:t xml:space="preserve"> and </w:t>
      </w:r>
      <w:r w:rsidRPr="00C90FCF">
        <w:rPr>
          <w:rFonts w:ascii="Google Sans" w:eastAsia="Times New Roman" w:hAnsi="Google Sans" w:cs="Times New Roman"/>
          <w:i/>
          <w:iCs/>
          <w:color w:val="131314"/>
          <w:kern w:val="0"/>
          <w:sz w:val="20"/>
          <w:szCs w:val="20"/>
          <w14:ligatures w14:val="none"/>
        </w:rPr>
        <w:t xml:space="preserve">Parabacteroides </w:t>
      </w:r>
      <w:proofErr w:type="spellStart"/>
      <w:r w:rsidRPr="00C90FCF">
        <w:rPr>
          <w:rFonts w:ascii="Google Sans" w:eastAsia="Times New Roman" w:hAnsi="Google Sans" w:cs="Times New Roman"/>
          <w:i/>
          <w:iCs/>
          <w:color w:val="131314"/>
          <w:kern w:val="0"/>
          <w:sz w:val="20"/>
          <w:szCs w:val="20"/>
          <w14:ligatures w14:val="none"/>
        </w:rPr>
        <w:t>distasonis</w:t>
      </w:r>
      <w:proofErr w:type="spellEnd"/>
      <w:r w:rsidRPr="00C90FCF"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  <w:t xml:space="preserve">, increased </w:t>
      </w:r>
      <w:proofErr w:type="spellStart"/>
      <w:r w:rsidRPr="00C90FCF">
        <w:rPr>
          <w:rFonts w:ascii="Google Sans" w:eastAsia="Times New Roman" w:hAnsi="Google Sans" w:cs="Times New Roman"/>
          <w:i/>
          <w:iCs/>
          <w:color w:val="131314"/>
          <w:kern w:val="0"/>
          <w:sz w:val="20"/>
          <w:szCs w:val="20"/>
          <w14:ligatures w14:val="none"/>
        </w:rPr>
        <w:t>Muribaculum</w:t>
      </w:r>
      <w:proofErr w:type="spellEnd"/>
      <w:r w:rsidRPr="00C90FCF">
        <w:rPr>
          <w:rFonts w:ascii="Google Sans" w:eastAsia="Times New Roman" w:hAnsi="Google Sans" w:cs="Times New Roman"/>
          <w:i/>
          <w:iCs/>
          <w:color w:val="131314"/>
          <w:kern w:val="0"/>
          <w:sz w:val="20"/>
          <w:szCs w:val="20"/>
          <w14:ligatures w14:val="none"/>
        </w:rPr>
        <w:t xml:space="preserve"> </w:t>
      </w:r>
      <w:proofErr w:type="spellStart"/>
      <w:r w:rsidRPr="00C90FCF">
        <w:rPr>
          <w:rFonts w:ascii="Google Sans" w:eastAsia="Times New Roman" w:hAnsi="Google Sans" w:cs="Times New Roman"/>
          <w:i/>
          <w:iCs/>
          <w:color w:val="131314"/>
          <w:kern w:val="0"/>
          <w:sz w:val="20"/>
          <w:szCs w:val="20"/>
          <w14:ligatures w14:val="none"/>
        </w:rPr>
        <w:t>intestinale</w:t>
      </w:r>
      <w:proofErr w:type="spellEnd"/>
      <w:r w:rsidRPr="00C90FCF"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  <w:t xml:space="preserve"> and </w:t>
      </w:r>
      <w:proofErr w:type="spellStart"/>
      <w:r w:rsidRPr="00C90FCF">
        <w:rPr>
          <w:rFonts w:ascii="Google Sans" w:eastAsia="Times New Roman" w:hAnsi="Google Sans" w:cs="Times New Roman"/>
          <w:i/>
          <w:iCs/>
          <w:color w:val="131314"/>
          <w:kern w:val="0"/>
          <w:sz w:val="20"/>
          <w:szCs w:val="20"/>
          <w14:ligatures w14:val="none"/>
        </w:rPr>
        <w:t>Barnesiella</w:t>
      </w:r>
      <w:proofErr w:type="spellEnd"/>
      <w:r w:rsidRPr="00C90FCF">
        <w:rPr>
          <w:rFonts w:ascii="Google Sans" w:eastAsia="Times New Roman" w:hAnsi="Google Sans" w:cs="Times New Roman"/>
          <w:i/>
          <w:iCs/>
          <w:color w:val="131314"/>
          <w:kern w:val="0"/>
          <w:sz w:val="20"/>
          <w:szCs w:val="20"/>
          <w14:ligatures w14:val="none"/>
        </w:rPr>
        <w:t xml:space="preserve"> </w:t>
      </w:r>
      <w:proofErr w:type="spellStart"/>
      <w:r w:rsidRPr="00C90FCF">
        <w:rPr>
          <w:rFonts w:ascii="Google Sans" w:eastAsia="Times New Roman" w:hAnsi="Google Sans" w:cs="Times New Roman"/>
          <w:i/>
          <w:iCs/>
          <w:color w:val="131314"/>
          <w:kern w:val="0"/>
          <w:sz w:val="20"/>
          <w:szCs w:val="20"/>
          <w14:ligatures w14:val="none"/>
        </w:rPr>
        <w:t>intestinihominis</w:t>
      </w:r>
      <w:proofErr w:type="spellEnd"/>
      <w:r w:rsidRPr="00C90FCF"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  <w:t>.</w:t>
      </w:r>
    </w:p>
    <w:p w14:paraId="09512590" w14:textId="77777777" w:rsidR="00C90FCF" w:rsidRPr="00C90FCF" w:rsidRDefault="00C90FCF" w:rsidP="00C90FC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</w:pPr>
      <w:proofErr w:type="spellStart"/>
      <w:r w:rsidRPr="00C90FCF"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  <w:t>RNAseq</w:t>
      </w:r>
      <w:proofErr w:type="spellEnd"/>
      <w:r w:rsidRPr="00C90FCF"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  <w:t>: Downregulation of mucin synthesis genes (Muc2, Gcnt3) and upregulation of pro-inflammatory immune pathways in BF-colonized and conventionalized BF-</w:t>
      </w:r>
      <w:proofErr w:type="spellStart"/>
      <w:r w:rsidRPr="00C90FCF"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  <w:t>monocolonized</w:t>
      </w:r>
      <w:proofErr w:type="spellEnd"/>
      <w:r w:rsidRPr="00C90FCF"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  <w:t xml:space="preserve"> mice.</w:t>
      </w:r>
    </w:p>
    <w:p w14:paraId="091ABC17" w14:textId="77777777" w:rsidR="00C90FCF" w:rsidRPr="00C90FCF" w:rsidRDefault="00C90FCF" w:rsidP="00C90FC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</w:pPr>
      <w:r w:rsidRPr="00C90FCF"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  <w:t>Immunostaining: Profoundly weaker Muc2 staining and lower overall mucin levels in distal colon of conventionalized BF-</w:t>
      </w:r>
      <w:proofErr w:type="spellStart"/>
      <w:r w:rsidRPr="00C90FCF"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  <w:t>monocolonized</w:t>
      </w:r>
      <w:proofErr w:type="spellEnd"/>
      <w:r w:rsidRPr="00C90FCF">
        <w:rPr>
          <w:rFonts w:ascii="Google Sans" w:eastAsia="Times New Roman" w:hAnsi="Google Sans" w:cs="Times New Roman"/>
          <w:color w:val="131314"/>
          <w:kern w:val="0"/>
          <w:sz w:val="20"/>
          <w:szCs w:val="20"/>
          <w14:ligatures w14:val="none"/>
        </w:rPr>
        <w:t xml:space="preserve"> mice (p&lt;0.0001).</w:t>
      </w:r>
    </w:p>
    <w:p w14:paraId="1CF2986E" w14:textId="77777777" w:rsidR="00C90FCF" w:rsidRPr="00C90FCF" w:rsidRDefault="00C90FCF">
      <w:pPr>
        <w:rPr>
          <w:sz w:val="20"/>
          <w:szCs w:val="20"/>
        </w:rPr>
      </w:pPr>
    </w:p>
    <w:sectPr w:rsidR="00C90FCF" w:rsidRPr="00C90F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oogle Sans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330DD"/>
    <w:multiLevelType w:val="multilevel"/>
    <w:tmpl w:val="93080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0B5BDA"/>
    <w:multiLevelType w:val="multilevel"/>
    <w:tmpl w:val="E946A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CA099A"/>
    <w:multiLevelType w:val="multilevel"/>
    <w:tmpl w:val="0CE04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8902BB"/>
    <w:multiLevelType w:val="multilevel"/>
    <w:tmpl w:val="D7B03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A54D4A"/>
    <w:multiLevelType w:val="multilevel"/>
    <w:tmpl w:val="9B104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F35412"/>
    <w:multiLevelType w:val="multilevel"/>
    <w:tmpl w:val="213EA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E24DC2"/>
    <w:multiLevelType w:val="multilevel"/>
    <w:tmpl w:val="7BF4B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8567346">
    <w:abstractNumId w:val="1"/>
  </w:num>
  <w:num w:numId="2" w16cid:durableId="1199317765">
    <w:abstractNumId w:val="3"/>
  </w:num>
  <w:num w:numId="3" w16cid:durableId="292752314">
    <w:abstractNumId w:val="4"/>
  </w:num>
  <w:num w:numId="4" w16cid:durableId="1859270437">
    <w:abstractNumId w:val="0"/>
  </w:num>
  <w:num w:numId="5" w16cid:durableId="156311722">
    <w:abstractNumId w:val="5"/>
  </w:num>
  <w:num w:numId="6" w16cid:durableId="1342926715">
    <w:abstractNumId w:val="6"/>
  </w:num>
  <w:num w:numId="7" w16cid:durableId="16931494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FCF"/>
    <w:rsid w:val="0007761C"/>
    <w:rsid w:val="003653C9"/>
    <w:rsid w:val="0046682A"/>
    <w:rsid w:val="00C90FCF"/>
    <w:rsid w:val="00CF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CC1A40"/>
  <w15:chartTrackingRefBased/>
  <w15:docId w15:val="{8CC336B1-38DE-C643-A1DC-F09BFC26B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FCF"/>
  </w:style>
  <w:style w:type="paragraph" w:styleId="Heading1">
    <w:name w:val="heading 1"/>
    <w:basedOn w:val="Normal"/>
    <w:next w:val="Normal"/>
    <w:link w:val="Heading1Char"/>
    <w:uiPriority w:val="9"/>
    <w:qFormat/>
    <w:rsid w:val="00C90F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0F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0F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0F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0F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0F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0F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0F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0F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0F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90F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90F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0F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0F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0F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0F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0F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0F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0F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0F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0F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0F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0F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0F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0F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0F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0F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0F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0FC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90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90FCF"/>
    <w:rPr>
      <w:b/>
      <w:bCs/>
    </w:rPr>
  </w:style>
  <w:style w:type="character" w:styleId="Emphasis">
    <w:name w:val="Emphasis"/>
    <w:basedOn w:val="DefaultParagraphFont"/>
    <w:uiPriority w:val="20"/>
    <w:qFormat/>
    <w:rsid w:val="00C90FCF"/>
    <w:rPr>
      <w:i/>
      <w:iCs/>
    </w:rPr>
  </w:style>
  <w:style w:type="paragraph" w:customStyle="1" w:styleId="ql-indent-1">
    <w:name w:val="ql-indent-1"/>
    <w:basedOn w:val="Normal"/>
    <w:rsid w:val="00C90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1584</Words>
  <Characters>9034</Characters>
  <Application>Microsoft Office Word</Application>
  <DocSecurity>0</DocSecurity>
  <Lines>75</Lines>
  <Paragraphs>21</Paragraphs>
  <ScaleCrop>false</ScaleCrop>
  <Company/>
  <LinksUpToDate>false</LinksUpToDate>
  <CharactersWithSpaces>10597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Westley PhD</dc:creator>
  <cp:keywords/>
  <dc:description/>
  <cp:lastModifiedBy>Monica Westley PhD</cp:lastModifiedBy>
  <cp:revision>1</cp:revision>
  <dcterms:created xsi:type="dcterms:W3CDTF">2025-08-28T13:10:00Z</dcterms:created>
  <dcterms:modified xsi:type="dcterms:W3CDTF">2025-08-28T13:12:00Z</dcterms:modified>
</cp:coreProperties>
</file>