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8B361" w14:textId="77777777" w:rsidR="00D46050" w:rsidRPr="00D46050" w:rsidRDefault="00D46050" w:rsidP="00D46050">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D46050">
        <w:rPr>
          <w:rFonts w:ascii="Times New Roman" w:eastAsia="Times New Roman" w:hAnsi="Times New Roman" w:cs="Times New Roman"/>
          <w:b/>
          <w:bCs/>
          <w:color w:val="131314"/>
          <w:kern w:val="0"/>
          <w:sz w:val="20"/>
          <w:szCs w:val="20"/>
          <w14:ligatures w14:val="none"/>
        </w:rPr>
        <w:t>SUMMARY (Basic) 7/11/25</w:t>
      </w:r>
    </w:p>
    <w:p w14:paraId="3826990F" w14:textId="77777777" w:rsidR="00D46050" w:rsidRPr="00D46050" w:rsidRDefault="00D46050" w:rsidP="00D46050">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D46050">
        <w:rPr>
          <w:rFonts w:ascii="Times New Roman" w:eastAsia="Times New Roman" w:hAnsi="Times New Roman" w:cs="Times New Roman"/>
          <w:b/>
          <w:bCs/>
          <w:color w:val="FF2F92"/>
          <w:kern w:val="0"/>
          <w:sz w:val="20"/>
          <w:szCs w:val="20"/>
          <w14:ligatures w14:val="none"/>
        </w:rPr>
        <w:t>ciT1zen science</w:t>
      </w:r>
      <w:r>
        <w:rPr>
          <w:rFonts w:ascii="Times New Roman" w:eastAsia="Times New Roman" w:hAnsi="Times New Roman" w:cs="Times New Roman"/>
          <w:b/>
          <w:bCs/>
          <w:color w:val="FF2F92"/>
          <w:kern w:val="0"/>
          <w:sz w:val="20"/>
          <w:szCs w:val="20"/>
          <w14:ligatures w14:val="none"/>
        </w:rPr>
        <w:t xml:space="preserve"> summary</w:t>
      </w:r>
    </w:p>
    <w:p w14:paraId="3BCAA1DA" w14:textId="77777777" w:rsidR="00D46050" w:rsidRPr="00D46050" w:rsidRDefault="00D46050" w:rsidP="00D46050">
      <w:pPr>
        <w:shd w:val="clear" w:color="auto" w:fill="FFFFFF"/>
        <w:spacing w:after="0" w:line="240" w:lineRule="auto"/>
        <w:outlineLvl w:val="1"/>
        <w:rPr>
          <w:rFonts w:ascii="Times New Roman" w:eastAsia="Times New Roman" w:hAnsi="Times New Roman" w:cs="Times New Roman"/>
          <w:b/>
          <w:bCs/>
          <w:color w:val="FF2F92"/>
          <w:kern w:val="0"/>
          <w:sz w:val="20"/>
          <w:szCs w:val="20"/>
          <w14:ligatures w14:val="none"/>
        </w:rPr>
      </w:pPr>
    </w:p>
    <w:p w14:paraId="67AFF405" w14:textId="77777777" w:rsidR="00D46050" w:rsidRPr="00D46050" w:rsidRDefault="00D46050" w:rsidP="00D46050">
      <w:pPr>
        <w:pBdr>
          <w:bottom w:val="single" w:sz="6" w:space="1" w:color="auto"/>
        </w:pBdr>
        <w:spacing w:after="0" w:line="240" w:lineRule="auto"/>
        <w:jc w:val="center"/>
        <w:rPr>
          <w:rFonts w:ascii="Arial" w:eastAsia="Times New Roman" w:hAnsi="Arial" w:cs="Arial"/>
          <w:vanish/>
          <w:kern w:val="0"/>
          <w:sz w:val="20"/>
          <w:szCs w:val="20"/>
          <w14:ligatures w14:val="none"/>
        </w:rPr>
      </w:pPr>
      <w:r w:rsidRPr="00D46050">
        <w:rPr>
          <w:rFonts w:ascii="Arial" w:eastAsia="Times New Roman" w:hAnsi="Arial" w:cs="Arial"/>
          <w:vanish/>
          <w:kern w:val="0"/>
          <w:sz w:val="20"/>
          <w:szCs w:val="20"/>
          <w14:ligatures w14:val="none"/>
        </w:rPr>
        <w:t>Top of Form</w:t>
      </w:r>
    </w:p>
    <w:p w14:paraId="64315D20"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b/>
          <w:bCs/>
          <w:color w:val="1F1F1F"/>
          <w:kern w:val="0"/>
          <w:sz w:val="20"/>
          <w:szCs w:val="20"/>
          <w14:ligatures w14:val="none"/>
        </w:rPr>
        <w:t>Source:</w:t>
      </w:r>
      <w:r w:rsidRPr="00D46050">
        <w:rPr>
          <w:rFonts w:ascii="Google Sans" w:eastAsia="Times New Roman" w:hAnsi="Google Sans" w:cs="Times New Roman"/>
          <w:color w:val="1F1F1F"/>
          <w:kern w:val="0"/>
          <w:sz w:val="20"/>
          <w:szCs w:val="20"/>
          <w14:ligatures w14:val="none"/>
        </w:rPr>
        <w:t xml:space="preserve"> "Genetic Risk and Transition through Preclinical Stages of Type 1 Diabetes" by Andrea K Steck et al., published in </w:t>
      </w:r>
      <w:r w:rsidRPr="00D46050">
        <w:rPr>
          <w:rFonts w:ascii="Google Sans" w:eastAsia="Times New Roman" w:hAnsi="Google Sans" w:cs="Times New Roman"/>
          <w:i/>
          <w:iCs/>
          <w:color w:val="1F1F1F"/>
          <w:kern w:val="0"/>
          <w:sz w:val="20"/>
          <w:szCs w:val="20"/>
          <w14:ligatures w14:val="none"/>
        </w:rPr>
        <w:t>The Journal of Clinical Endocrinology &amp; Metabolism</w:t>
      </w:r>
      <w:r w:rsidRPr="00D46050">
        <w:rPr>
          <w:rFonts w:ascii="Google Sans" w:eastAsia="Times New Roman" w:hAnsi="Google Sans" w:cs="Times New Roman"/>
          <w:color w:val="1F1F1F"/>
          <w:kern w:val="0"/>
          <w:sz w:val="20"/>
          <w:szCs w:val="20"/>
          <w14:ligatures w14:val="none"/>
        </w:rPr>
        <w:t>, 2025.</w:t>
      </w:r>
    </w:p>
    <w:p w14:paraId="54CE7163"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b/>
          <w:bCs/>
          <w:color w:val="1F1F1F"/>
          <w:kern w:val="0"/>
          <w:sz w:val="20"/>
          <w:szCs w:val="20"/>
          <w14:ligatures w14:val="none"/>
        </w:rPr>
        <w:t>I. Main Theme:</w:t>
      </w:r>
    </w:p>
    <w:p w14:paraId="0EE0B7DD"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color w:val="1F1F1F"/>
          <w:kern w:val="0"/>
          <w:sz w:val="20"/>
          <w:szCs w:val="20"/>
          <w14:ligatures w14:val="none"/>
        </w:rPr>
        <w:t>This research investigates the significant role of genetic risk factors, particularly the overall Type 1 Diabetes (T1D) Genetic Risk Score (GRS2) and its HLA components, in influencing the progression through the preclinical stages of Type 1 Diabetes. The study aims to enhance the prediction of T1D progression by incorporating these genetic insights.</w:t>
      </w:r>
    </w:p>
    <w:p w14:paraId="5DFA450B"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b/>
          <w:bCs/>
          <w:color w:val="1F1F1F"/>
          <w:kern w:val="0"/>
          <w:sz w:val="20"/>
          <w:szCs w:val="20"/>
          <w14:ligatures w14:val="none"/>
        </w:rPr>
        <w:t>II. Key Findings and Most Important Ideas/Facts:</w:t>
      </w:r>
    </w:p>
    <w:p w14:paraId="653793D5" w14:textId="77777777" w:rsidR="00D46050" w:rsidRPr="00D46050" w:rsidRDefault="00D46050" w:rsidP="00D46050">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Genetic Influence Across All Preclinical Transitions:</w:t>
      </w:r>
      <w:r w:rsidRPr="00D46050">
        <w:rPr>
          <w:rFonts w:ascii="inherit" w:eastAsia="Times New Roman" w:hAnsi="inherit" w:cs="Times New Roman"/>
          <w:color w:val="1F1F1F"/>
          <w:kern w:val="0"/>
          <w:sz w:val="20"/>
          <w:szCs w:val="20"/>
          <w14:ligatures w14:val="none"/>
        </w:rPr>
        <w:t xml:space="preserve"> The study conclusively demonstrates that genetics play a crucial role in the transition through </w:t>
      </w:r>
      <w:r w:rsidRPr="00D46050">
        <w:rPr>
          <w:rFonts w:ascii="inherit" w:eastAsia="Times New Roman" w:hAnsi="inherit" w:cs="Times New Roman"/>
          <w:i/>
          <w:iCs/>
          <w:color w:val="1F1F1F"/>
          <w:kern w:val="0"/>
          <w:sz w:val="20"/>
          <w:szCs w:val="20"/>
          <w14:ligatures w14:val="none"/>
        </w:rPr>
        <w:t>each</w:t>
      </w:r>
      <w:r w:rsidRPr="00D46050">
        <w:rPr>
          <w:rFonts w:ascii="inherit" w:eastAsia="Times New Roman" w:hAnsi="inherit" w:cs="Times New Roman"/>
          <w:color w:val="1F1F1F"/>
          <w:kern w:val="0"/>
          <w:sz w:val="20"/>
          <w:szCs w:val="20"/>
          <w14:ligatures w14:val="none"/>
        </w:rPr>
        <w:t xml:space="preserve"> stage of preclinical T1D. This suggests that genetic predisposition not only increases the risk of developing T1D but also influences the rate at which individuals progress through the asymptomatic stages.</w:t>
      </w:r>
    </w:p>
    <w:p w14:paraId="202F2E3E" w14:textId="77777777" w:rsidR="00D46050" w:rsidRPr="00D46050" w:rsidRDefault="00D46050" w:rsidP="00D46050">
      <w:pPr>
        <w:numPr>
          <w:ilvl w:val="0"/>
          <w:numId w:val="1"/>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T1D GRS2 as a Predictor:</w:t>
      </w:r>
      <w:r w:rsidRPr="00D46050">
        <w:rPr>
          <w:rFonts w:ascii="inherit" w:eastAsia="Times New Roman" w:hAnsi="inherit" w:cs="Times New Roman"/>
          <w:color w:val="1F1F1F"/>
          <w:kern w:val="0"/>
          <w:sz w:val="20"/>
          <w:szCs w:val="20"/>
          <w14:ligatures w14:val="none"/>
        </w:rPr>
        <w:t xml:space="preserve"> The overall T1D GRS2 was found to be significantly associated with all three transitions evaluated in the study:</w:t>
      </w:r>
    </w:p>
    <w:p w14:paraId="4D0DCE86" w14:textId="77777777" w:rsidR="00D46050" w:rsidRPr="00D46050" w:rsidRDefault="00D46050" w:rsidP="00D46050">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Single confirmed autoantibody positive to Stage 1:</w:t>
      </w:r>
      <w:r w:rsidRPr="00D46050">
        <w:rPr>
          <w:rFonts w:ascii="inherit" w:eastAsia="Times New Roman" w:hAnsi="inherit" w:cs="Times New Roman"/>
          <w:color w:val="1F1F1F"/>
          <w:kern w:val="0"/>
          <w:sz w:val="20"/>
          <w:szCs w:val="20"/>
          <w14:ligatures w14:val="none"/>
        </w:rPr>
        <w:t xml:space="preserve"> Hazard Ratio (HR) of 1.11 (1.09-1.14)</w:t>
      </w:r>
    </w:p>
    <w:p w14:paraId="25B8C7E4" w14:textId="77777777" w:rsidR="00D46050" w:rsidRPr="00D46050" w:rsidRDefault="00D46050" w:rsidP="00D46050">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Stage 1 to Stage 2:</w:t>
      </w:r>
      <w:r w:rsidRPr="00D46050">
        <w:rPr>
          <w:rFonts w:ascii="inherit" w:eastAsia="Times New Roman" w:hAnsi="inherit" w:cs="Times New Roman"/>
          <w:color w:val="1F1F1F"/>
          <w:kern w:val="0"/>
          <w:sz w:val="20"/>
          <w:szCs w:val="20"/>
          <w14:ligatures w14:val="none"/>
        </w:rPr>
        <w:t xml:space="preserve"> HR 1.05 (1.03-1.08)</w:t>
      </w:r>
    </w:p>
    <w:p w14:paraId="3CD94E2B" w14:textId="77777777" w:rsidR="00D46050" w:rsidRPr="00D46050" w:rsidRDefault="00D46050" w:rsidP="00D46050">
      <w:pPr>
        <w:numPr>
          <w:ilvl w:val="0"/>
          <w:numId w:val="2"/>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Stage 2 to Stage 3 (clinical) T1D:</w:t>
      </w:r>
      <w:r w:rsidRPr="00D46050">
        <w:rPr>
          <w:rFonts w:ascii="inherit" w:eastAsia="Times New Roman" w:hAnsi="inherit" w:cs="Times New Roman"/>
          <w:color w:val="1F1F1F"/>
          <w:kern w:val="0"/>
          <w:sz w:val="20"/>
          <w:szCs w:val="20"/>
          <w14:ligatures w14:val="none"/>
        </w:rPr>
        <w:t xml:space="preserve"> HR 1.13 (1.09-1.17) This consistent association across stages highlights the GRS2's potential as a valuable tool for predicting progression.</w:t>
      </w:r>
    </w:p>
    <w:p w14:paraId="7798A760" w14:textId="77777777" w:rsidR="00D46050" w:rsidRPr="00D46050" w:rsidRDefault="00D46050" w:rsidP="00D46050">
      <w:pPr>
        <w:numPr>
          <w:ilvl w:val="0"/>
          <w:numId w:val="3"/>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Dominant Role of HLA Class II:</w:t>
      </w:r>
      <w:r w:rsidRPr="00D46050">
        <w:rPr>
          <w:rFonts w:ascii="inherit" w:eastAsia="Times New Roman" w:hAnsi="inherit" w:cs="Times New Roman"/>
          <w:color w:val="1F1F1F"/>
          <w:kern w:val="0"/>
          <w:sz w:val="20"/>
          <w:szCs w:val="20"/>
          <w14:ligatures w14:val="none"/>
        </w:rPr>
        <w:t xml:space="preserve"> The study identifies the HLA (Human Leukocyte Antigen) class II components of the T1D GRS2 as having the "main contributions" to the influence on all three preclinical transitions. This reinforces the known strong association between specific HLA genes and T1D susceptibility and suggests their continued importance in disease progression.</w:t>
      </w:r>
    </w:p>
    <w:p w14:paraId="365A1353" w14:textId="77777777" w:rsidR="00D46050" w:rsidRPr="00D46050" w:rsidRDefault="00D46050" w:rsidP="00D46050">
      <w:pPr>
        <w:numPr>
          <w:ilvl w:val="0"/>
          <w:numId w:val="3"/>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Specific HLA Haplotype Associations:</w:t>
      </w:r>
    </w:p>
    <w:p w14:paraId="38A41DF6" w14:textId="77777777" w:rsidR="00D46050" w:rsidRPr="00D46050" w:rsidRDefault="00D46050" w:rsidP="00D46050">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HLA-DR4 haplotype:</w:t>
      </w:r>
      <w:r w:rsidRPr="00D46050">
        <w:rPr>
          <w:rFonts w:ascii="inherit" w:eastAsia="Times New Roman" w:hAnsi="inherit" w:cs="Times New Roman"/>
          <w:color w:val="1F1F1F"/>
          <w:kern w:val="0"/>
          <w:sz w:val="20"/>
          <w:szCs w:val="20"/>
          <w14:ligatures w14:val="none"/>
        </w:rPr>
        <w:t xml:space="preserve"> Associated with the transition "from single autoantibody positivity to stage 1 and from stage 2 to stage 3 T1D."</w:t>
      </w:r>
    </w:p>
    <w:p w14:paraId="0B1E32CC" w14:textId="77777777" w:rsidR="00D46050" w:rsidRPr="00D46050" w:rsidRDefault="00D46050" w:rsidP="00D46050">
      <w:pPr>
        <w:numPr>
          <w:ilvl w:val="0"/>
          <w:numId w:val="4"/>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HLA-DR3 haplotype:</w:t>
      </w:r>
      <w:r w:rsidRPr="00D46050">
        <w:rPr>
          <w:rFonts w:ascii="inherit" w:eastAsia="Times New Roman" w:hAnsi="inherit" w:cs="Times New Roman"/>
          <w:color w:val="1F1F1F"/>
          <w:kern w:val="0"/>
          <w:sz w:val="20"/>
          <w:szCs w:val="20"/>
          <w14:ligatures w14:val="none"/>
        </w:rPr>
        <w:t xml:space="preserve"> Only associated with the transition "from stage 2 to stage 3 T1D." This detailed breakdown of specific HLA haplotype influences provides more granular insight into their roles at different stages of disease development.</w:t>
      </w:r>
    </w:p>
    <w:p w14:paraId="208F7A14" w14:textId="77777777" w:rsidR="00D46050" w:rsidRPr="00D46050" w:rsidRDefault="00D46050" w:rsidP="00D46050">
      <w:pPr>
        <w:numPr>
          <w:ilvl w:val="0"/>
          <w:numId w:val="5"/>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Implications for Prediction and Understanding T1D Development:</w:t>
      </w:r>
      <w:r w:rsidRPr="00D46050">
        <w:rPr>
          <w:rFonts w:ascii="inherit" w:eastAsia="Times New Roman" w:hAnsi="inherit" w:cs="Times New Roman"/>
          <w:color w:val="1F1F1F"/>
          <w:kern w:val="0"/>
          <w:sz w:val="20"/>
          <w:szCs w:val="20"/>
          <w14:ligatures w14:val="none"/>
        </w:rPr>
        <w:t xml:space="preserve"> The authors explicitly state that "These results increase our understanding of T1D development and support incorporating the T1D GRS2 to enhance the prediction of progression through the preclinical stages of T1D." This underscores the practical application of their findings for risk stratification and potentially for future intervention strategies.</w:t>
      </w:r>
    </w:p>
    <w:p w14:paraId="3B4B0D0F"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b/>
          <w:bCs/>
          <w:color w:val="1F1F1F"/>
          <w:kern w:val="0"/>
          <w:sz w:val="20"/>
          <w:szCs w:val="20"/>
          <w14:ligatures w14:val="none"/>
        </w:rPr>
        <w:t>III. Methodology:</w:t>
      </w:r>
    </w:p>
    <w:p w14:paraId="4940D057"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Participants:</w:t>
      </w:r>
      <w:r w:rsidRPr="00D46050">
        <w:rPr>
          <w:rFonts w:ascii="inherit" w:eastAsia="Times New Roman" w:hAnsi="inherit" w:cs="Times New Roman"/>
          <w:color w:val="1F1F1F"/>
          <w:kern w:val="0"/>
          <w:sz w:val="20"/>
          <w:szCs w:val="20"/>
          <w14:ligatures w14:val="none"/>
        </w:rPr>
        <w:t xml:space="preserve"> TrialNet participants who were genotyped with the TEDDY-T1DExomeChip array (Illumina HumanCoreExome Beadarray with custom content).</w:t>
      </w:r>
    </w:p>
    <w:p w14:paraId="568575EB"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t>Genetic Factors Evaluated:</w:t>
      </w:r>
      <w:r w:rsidRPr="00D46050">
        <w:rPr>
          <w:rFonts w:ascii="inherit" w:eastAsia="Times New Roman" w:hAnsi="inherit" w:cs="Times New Roman"/>
          <w:color w:val="1F1F1F"/>
          <w:kern w:val="0"/>
          <w:sz w:val="20"/>
          <w:szCs w:val="20"/>
          <w14:ligatures w14:val="none"/>
        </w:rPr>
        <w:t>Overall T1D genetic risk score (GRS2)</w:t>
      </w:r>
    </w:p>
    <w:p w14:paraId="590989D1"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color w:val="1F1F1F"/>
          <w:kern w:val="0"/>
          <w:sz w:val="20"/>
          <w:szCs w:val="20"/>
          <w14:ligatures w14:val="none"/>
        </w:rPr>
        <w:t>HLA and non-HLA components of GRS2</w:t>
      </w:r>
    </w:p>
    <w:p w14:paraId="5DF901C6"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color w:val="1F1F1F"/>
          <w:kern w:val="0"/>
          <w:sz w:val="20"/>
          <w:szCs w:val="20"/>
          <w14:ligatures w14:val="none"/>
        </w:rPr>
        <w:t>HLA-DR3 and HLA-DR4 haplotypes</w:t>
      </w:r>
    </w:p>
    <w:p w14:paraId="34C5E385"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color w:val="1F1F1F"/>
          <w:kern w:val="0"/>
          <w:sz w:val="20"/>
          <w:szCs w:val="20"/>
          <w14:ligatures w14:val="none"/>
        </w:rPr>
        <w:t>90 single nucleotide polymorphisms (SNPs) previously linked to islet autoimmunity and/or T1D.</w:t>
      </w:r>
    </w:p>
    <w:p w14:paraId="26B62FF2"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b/>
          <w:bCs/>
          <w:color w:val="1F1F1F"/>
          <w:kern w:val="0"/>
          <w:sz w:val="20"/>
          <w:szCs w:val="20"/>
          <w14:ligatures w14:val="none"/>
        </w:rPr>
        <w:lastRenderedPageBreak/>
        <w:t>Transitions Analyzed:</w:t>
      </w:r>
      <w:r w:rsidRPr="00D46050">
        <w:rPr>
          <w:rFonts w:ascii="inherit" w:eastAsia="Times New Roman" w:hAnsi="inherit" w:cs="Times New Roman"/>
          <w:color w:val="1F1F1F"/>
          <w:kern w:val="0"/>
          <w:sz w:val="20"/>
          <w:szCs w:val="20"/>
          <w14:ligatures w14:val="none"/>
        </w:rPr>
        <w:t>From single confirmed autoantibody positive to stage 1 (N=4,314)</w:t>
      </w:r>
    </w:p>
    <w:p w14:paraId="365A2D75"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color w:val="1F1F1F"/>
          <w:kern w:val="0"/>
          <w:sz w:val="20"/>
          <w:szCs w:val="20"/>
          <w14:ligatures w14:val="none"/>
        </w:rPr>
        <w:t>From stage 1 to stage 2 (N=3,066)</w:t>
      </w:r>
    </w:p>
    <w:p w14:paraId="3C8EB37A" w14:textId="77777777" w:rsidR="00D46050" w:rsidRPr="00D46050" w:rsidRDefault="00D46050" w:rsidP="00D46050">
      <w:pPr>
        <w:numPr>
          <w:ilvl w:val="0"/>
          <w:numId w:val="6"/>
        </w:numPr>
        <w:spacing w:before="100" w:beforeAutospacing="1" w:after="100" w:afterAutospacing="1" w:line="240" w:lineRule="auto"/>
        <w:rPr>
          <w:rFonts w:ascii="inherit" w:eastAsia="Times New Roman" w:hAnsi="inherit" w:cs="Times New Roman"/>
          <w:color w:val="1F1F1F"/>
          <w:kern w:val="0"/>
          <w:sz w:val="20"/>
          <w:szCs w:val="20"/>
          <w14:ligatures w14:val="none"/>
        </w:rPr>
      </w:pPr>
      <w:r w:rsidRPr="00D46050">
        <w:rPr>
          <w:rFonts w:ascii="inherit" w:eastAsia="Times New Roman" w:hAnsi="inherit" w:cs="Times New Roman"/>
          <w:color w:val="1F1F1F"/>
          <w:kern w:val="0"/>
          <w:sz w:val="20"/>
          <w:szCs w:val="20"/>
          <w14:ligatures w14:val="none"/>
        </w:rPr>
        <w:t>From stage 2 to stage 3 (clinical) T1D (N=2,045)</w:t>
      </w:r>
    </w:p>
    <w:p w14:paraId="49881E38"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b/>
          <w:bCs/>
          <w:color w:val="1F1F1F"/>
          <w:kern w:val="0"/>
          <w:sz w:val="20"/>
          <w:szCs w:val="20"/>
          <w14:ligatures w14:val="none"/>
        </w:rPr>
        <w:t>IV. Conclusion/Significance:</w:t>
      </w:r>
    </w:p>
    <w:p w14:paraId="05FC2E74" w14:textId="77777777" w:rsidR="00D46050" w:rsidRPr="00D46050" w:rsidRDefault="00D46050" w:rsidP="00D46050">
      <w:pPr>
        <w:spacing w:after="0" w:line="300" w:lineRule="atLeast"/>
        <w:rPr>
          <w:rFonts w:ascii="Google Sans" w:eastAsia="Times New Roman" w:hAnsi="Google Sans" w:cs="Times New Roman"/>
          <w:color w:val="1F1F1F"/>
          <w:kern w:val="0"/>
          <w:sz w:val="20"/>
          <w:szCs w:val="20"/>
          <w14:ligatures w14:val="none"/>
        </w:rPr>
      </w:pPr>
      <w:r w:rsidRPr="00D46050">
        <w:rPr>
          <w:rFonts w:ascii="Google Sans" w:eastAsia="Times New Roman" w:hAnsi="Google Sans" w:cs="Times New Roman"/>
          <w:color w:val="1F1F1F"/>
          <w:kern w:val="0"/>
          <w:sz w:val="20"/>
          <w:szCs w:val="20"/>
          <w14:ligatures w14:val="none"/>
        </w:rPr>
        <w:t>The research provides strong evidence that genetic factors, particularly the T1D GRS2 and its HLA class II components, are not only involved in the initial susceptibility to Type 1 Diabetes but also actively influence the rate of progression through its preclinical stages. This understanding is crucial for improving predictive models for T1D and may pave the way for earlier identification of individuals at higher risk of rapid progression, potentially informing future preventative or therapeutic interventions.</w:t>
      </w:r>
    </w:p>
    <w:p w14:paraId="368EBF08" w14:textId="77777777" w:rsidR="00D46050" w:rsidRPr="00D46050" w:rsidRDefault="00D46050" w:rsidP="00D46050">
      <w:pPr>
        <w:pBdr>
          <w:top w:val="single" w:sz="6" w:space="1" w:color="auto"/>
        </w:pBdr>
        <w:spacing w:after="0" w:line="240" w:lineRule="auto"/>
        <w:jc w:val="center"/>
        <w:rPr>
          <w:rFonts w:ascii="Arial" w:eastAsia="Times New Roman" w:hAnsi="Arial" w:cs="Arial"/>
          <w:vanish/>
          <w:kern w:val="0"/>
          <w:sz w:val="20"/>
          <w:szCs w:val="20"/>
          <w14:ligatures w14:val="none"/>
        </w:rPr>
      </w:pPr>
      <w:r w:rsidRPr="00D46050">
        <w:rPr>
          <w:rFonts w:ascii="Arial" w:eastAsia="Times New Roman" w:hAnsi="Arial" w:cs="Arial"/>
          <w:vanish/>
          <w:kern w:val="0"/>
          <w:sz w:val="20"/>
          <w:szCs w:val="20"/>
          <w14:ligatures w14:val="none"/>
        </w:rPr>
        <w:t>Bottom of Form</w:t>
      </w:r>
    </w:p>
    <w:p w14:paraId="1D4353CD" w14:textId="77777777" w:rsidR="00D46050" w:rsidRPr="00D46050" w:rsidRDefault="00D46050" w:rsidP="00D46050">
      <w:pPr>
        <w:spacing w:after="0" w:line="240" w:lineRule="auto"/>
        <w:rPr>
          <w:rFonts w:ascii="Times" w:eastAsia="Times New Roman" w:hAnsi="Times" w:cs="Times New Roman"/>
          <w:color w:val="1F1F1F"/>
          <w:kern w:val="0"/>
          <w:sz w:val="20"/>
          <w:szCs w:val="20"/>
          <w14:ligatures w14:val="none"/>
        </w:rPr>
      </w:pPr>
      <w:r w:rsidRPr="00D46050">
        <w:rPr>
          <w:rFonts w:ascii="Times" w:eastAsia="Times New Roman" w:hAnsi="Times" w:cs="Times New Roman"/>
          <w:color w:val="1F1F1F"/>
          <w:kern w:val="0"/>
          <w:sz w:val="20"/>
          <w:szCs w:val="20"/>
          <w14:ligatures w14:val="none"/>
        </w:rPr>
        <w:t>convert_to_textConvert to source</w:t>
      </w:r>
    </w:p>
    <w:p w14:paraId="3AF2944C" w14:textId="77777777" w:rsidR="00D46050" w:rsidRPr="00D46050" w:rsidRDefault="00D46050" w:rsidP="00D46050">
      <w:pPr>
        <w:shd w:val="clear" w:color="auto" w:fill="FFFFFF"/>
        <w:spacing w:after="0" w:line="240" w:lineRule="auto"/>
        <w:outlineLvl w:val="1"/>
        <w:rPr>
          <w:rFonts w:ascii="Times New Roman" w:eastAsia="Times New Roman" w:hAnsi="Times New Roman" w:cs="Times New Roman"/>
          <w:b/>
          <w:bCs/>
          <w:kern w:val="0"/>
          <w:sz w:val="20"/>
          <w:szCs w:val="20"/>
          <w14:ligatures w14:val="none"/>
        </w:rPr>
      </w:pPr>
      <w:r w:rsidRPr="00D46050">
        <w:rPr>
          <w:rFonts w:ascii="Times New Roman" w:eastAsia="Times New Roman" w:hAnsi="Times New Roman" w:cs="Times New Roman"/>
          <w:kern w:val="0"/>
          <w:sz w:val="20"/>
          <w:szCs w:val="20"/>
          <w14:ligatures w14:val="none"/>
        </w:rPr>
        <w:t>NotebookLM can be inaccurate; please double check its responses.</w:t>
      </w:r>
    </w:p>
    <w:p w14:paraId="073003A0" w14:textId="77777777" w:rsidR="003653C9" w:rsidRPr="00D46050" w:rsidRDefault="003653C9">
      <w:pPr>
        <w:rPr>
          <w:sz w:val="20"/>
          <w:szCs w:val="20"/>
        </w:rPr>
      </w:pPr>
    </w:p>
    <w:sectPr w:rsidR="003653C9" w:rsidRPr="00D4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oogle Sans">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Time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544D"/>
    <w:multiLevelType w:val="multilevel"/>
    <w:tmpl w:val="CDEC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55B15"/>
    <w:multiLevelType w:val="multilevel"/>
    <w:tmpl w:val="2100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550AB"/>
    <w:multiLevelType w:val="multilevel"/>
    <w:tmpl w:val="02C6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B77D7"/>
    <w:multiLevelType w:val="multilevel"/>
    <w:tmpl w:val="763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028BC"/>
    <w:multiLevelType w:val="multilevel"/>
    <w:tmpl w:val="FC24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83CE7"/>
    <w:multiLevelType w:val="multilevel"/>
    <w:tmpl w:val="3B78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560682">
    <w:abstractNumId w:val="2"/>
  </w:num>
  <w:num w:numId="2" w16cid:durableId="1235050517">
    <w:abstractNumId w:val="4"/>
  </w:num>
  <w:num w:numId="3" w16cid:durableId="71319332">
    <w:abstractNumId w:val="3"/>
  </w:num>
  <w:num w:numId="4" w16cid:durableId="531847370">
    <w:abstractNumId w:val="0"/>
  </w:num>
  <w:num w:numId="5" w16cid:durableId="989404637">
    <w:abstractNumId w:val="1"/>
  </w:num>
  <w:num w:numId="6" w16cid:durableId="510995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14"/>
    <w:rsid w:val="000A03AB"/>
    <w:rsid w:val="003653C9"/>
    <w:rsid w:val="0046682A"/>
    <w:rsid w:val="005D7E19"/>
    <w:rsid w:val="007F2A14"/>
    <w:rsid w:val="00CF76F3"/>
    <w:rsid w:val="00D46050"/>
    <w:rsid w:val="00DC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D30B9"/>
  <w15:chartTrackingRefBased/>
  <w15:docId w15:val="{9580FEFC-FD78-2B4D-BCF8-75C11C7C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50"/>
  </w:style>
  <w:style w:type="paragraph" w:styleId="Heading1">
    <w:name w:val="heading 1"/>
    <w:basedOn w:val="Normal"/>
    <w:next w:val="Normal"/>
    <w:link w:val="Heading1Char"/>
    <w:uiPriority w:val="9"/>
    <w:qFormat/>
    <w:rsid w:val="00D46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050"/>
    <w:rPr>
      <w:rFonts w:eastAsiaTheme="majorEastAsia" w:cstheme="majorBidi"/>
      <w:color w:val="272727" w:themeColor="text1" w:themeTint="D8"/>
    </w:rPr>
  </w:style>
  <w:style w:type="paragraph" w:styleId="Title">
    <w:name w:val="Title"/>
    <w:basedOn w:val="Normal"/>
    <w:next w:val="Normal"/>
    <w:link w:val="TitleChar"/>
    <w:uiPriority w:val="10"/>
    <w:qFormat/>
    <w:rsid w:val="00D46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050"/>
    <w:pPr>
      <w:spacing w:before="160"/>
      <w:jc w:val="center"/>
    </w:pPr>
    <w:rPr>
      <w:i/>
      <w:iCs/>
      <w:color w:val="404040" w:themeColor="text1" w:themeTint="BF"/>
    </w:rPr>
  </w:style>
  <w:style w:type="character" w:customStyle="1" w:styleId="QuoteChar">
    <w:name w:val="Quote Char"/>
    <w:basedOn w:val="DefaultParagraphFont"/>
    <w:link w:val="Quote"/>
    <w:uiPriority w:val="29"/>
    <w:rsid w:val="00D46050"/>
    <w:rPr>
      <w:i/>
      <w:iCs/>
      <w:color w:val="404040" w:themeColor="text1" w:themeTint="BF"/>
    </w:rPr>
  </w:style>
  <w:style w:type="paragraph" w:styleId="ListParagraph">
    <w:name w:val="List Paragraph"/>
    <w:basedOn w:val="Normal"/>
    <w:uiPriority w:val="34"/>
    <w:qFormat/>
    <w:rsid w:val="00D46050"/>
    <w:pPr>
      <w:ind w:left="720"/>
      <w:contextualSpacing/>
    </w:pPr>
  </w:style>
  <w:style w:type="character" w:styleId="IntenseEmphasis">
    <w:name w:val="Intense Emphasis"/>
    <w:basedOn w:val="DefaultParagraphFont"/>
    <w:uiPriority w:val="21"/>
    <w:qFormat/>
    <w:rsid w:val="00D46050"/>
    <w:rPr>
      <w:i/>
      <w:iCs/>
      <w:color w:val="0F4761" w:themeColor="accent1" w:themeShade="BF"/>
    </w:rPr>
  </w:style>
  <w:style w:type="paragraph" w:styleId="IntenseQuote">
    <w:name w:val="Intense Quote"/>
    <w:basedOn w:val="Normal"/>
    <w:next w:val="Normal"/>
    <w:link w:val="IntenseQuoteChar"/>
    <w:uiPriority w:val="30"/>
    <w:qFormat/>
    <w:rsid w:val="00D46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050"/>
    <w:rPr>
      <w:i/>
      <w:iCs/>
      <w:color w:val="0F4761" w:themeColor="accent1" w:themeShade="BF"/>
    </w:rPr>
  </w:style>
  <w:style w:type="character" w:styleId="IntenseReference">
    <w:name w:val="Intense Reference"/>
    <w:basedOn w:val="DefaultParagraphFont"/>
    <w:uiPriority w:val="32"/>
    <w:qFormat/>
    <w:rsid w:val="00D46050"/>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D4605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46050"/>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D460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46050"/>
    <w:rPr>
      <w:b/>
      <w:bCs/>
    </w:rPr>
  </w:style>
  <w:style w:type="character" w:styleId="Emphasis">
    <w:name w:val="Emphasis"/>
    <w:basedOn w:val="DefaultParagraphFont"/>
    <w:uiPriority w:val="20"/>
    <w:qFormat/>
    <w:rsid w:val="00D46050"/>
    <w:rPr>
      <w:i/>
      <w:iCs/>
    </w:rPr>
  </w:style>
  <w:style w:type="paragraph" w:customStyle="1" w:styleId="ql-indent-1">
    <w:name w:val="ql-indent-1"/>
    <w:basedOn w:val="Normal"/>
    <w:rsid w:val="00D4605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D4605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46050"/>
    <w:rPr>
      <w:rFonts w:ascii="Arial" w:eastAsia="Times New Roman" w:hAnsi="Arial" w:cs="Arial"/>
      <w:vanish/>
      <w:kern w:val="0"/>
      <w:sz w:val="16"/>
      <w:szCs w:val="16"/>
      <w14:ligatures w14:val="none"/>
    </w:rPr>
  </w:style>
  <w:style w:type="character" w:customStyle="1" w:styleId="mdc-buttonlabel">
    <w:name w:val="mdc-button__label"/>
    <w:basedOn w:val="DefaultParagraphFont"/>
    <w:rsid w:val="00D4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12205">
      <w:bodyDiv w:val="1"/>
      <w:marLeft w:val="0"/>
      <w:marRight w:val="0"/>
      <w:marTop w:val="0"/>
      <w:marBottom w:val="0"/>
      <w:divBdr>
        <w:top w:val="none" w:sz="0" w:space="0" w:color="auto"/>
        <w:left w:val="none" w:sz="0" w:space="0" w:color="auto"/>
        <w:bottom w:val="none" w:sz="0" w:space="0" w:color="auto"/>
        <w:right w:val="none" w:sz="0" w:space="0" w:color="auto"/>
      </w:divBdr>
      <w:divsChild>
        <w:div w:id="1930263218">
          <w:marLeft w:val="0"/>
          <w:marRight w:val="0"/>
          <w:marTop w:val="0"/>
          <w:marBottom w:val="0"/>
          <w:divBdr>
            <w:top w:val="none" w:sz="0" w:space="0" w:color="auto"/>
            <w:left w:val="none" w:sz="0" w:space="0" w:color="auto"/>
            <w:bottom w:val="none" w:sz="0" w:space="0" w:color="auto"/>
            <w:right w:val="none" w:sz="0" w:space="0" w:color="auto"/>
          </w:divBdr>
          <w:divsChild>
            <w:div w:id="1446999995">
              <w:marLeft w:val="0"/>
              <w:marRight w:val="0"/>
              <w:marTop w:val="0"/>
              <w:marBottom w:val="0"/>
              <w:divBdr>
                <w:top w:val="none" w:sz="0" w:space="0" w:color="auto"/>
                <w:left w:val="none" w:sz="0" w:space="0" w:color="auto"/>
                <w:bottom w:val="none" w:sz="0" w:space="0" w:color="auto"/>
                <w:right w:val="none" w:sz="0" w:space="0" w:color="auto"/>
              </w:divBdr>
              <w:divsChild>
                <w:div w:id="691764959">
                  <w:marLeft w:val="0"/>
                  <w:marRight w:val="0"/>
                  <w:marTop w:val="0"/>
                  <w:marBottom w:val="0"/>
                  <w:divBdr>
                    <w:top w:val="single" w:sz="6" w:space="0" w:color="DDE1EB"/>
                    <w:left w:val="none" w:sz="0" w:space="0" w:color="auto"/>
                    <w:bottom w:val="none" w:sz="0" w:space="0" w:color="auto"/>
                    <w:right w:val="none" w:sz="0" w:space="0" w:color="auto"/>
                  </w:divBdr>
                  <w:divsChild>
                    <w:div w:id="498351539">
                      <w:marLeft w:val="0"/>
                      <w:marRight w:val="0"/>
                      <w:marTop w:val="0"/>
                      <w:marBottom w:val="0"/>
                      <w:divBdr>
                        <w:top w:val="single" w:sz="6" w:space="0" w:color="DDE1EB"/>
                        <w:left w:val="single" w:sz="6" w:space="0" w:color="CCCCCC"/>
                        <w:bottom w:val="single" w:sz="6" w:space="0" w:color="CCCCCC"/>
                        <w:right w:val="single" w:sz="6" w:space="0" w:color="CCCCCC"/>
                      </w:divBdr>
                      <w:divsChild>
                        <w:div w:id="5034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4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m241/Downloads/SUM%20Basic%20July%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SUM Basic July 11.dotx</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Majety</dc:creator>
  <cp:keywords/>
  <dc:description/>
  <cp:lastModifiedBy>Neha Majety</cp:lastModifiedBy>
  <cp:revision>1</cp:revision>
  <dcterms:created xsi:type="dcterms:W3CDTF">2025-07-18T16:21:00Z</dcterms:created>
  <dcterms:modified xsi:type="dcterms:W3CDTF">2025-07-18T16:21:00Z</dcterms:modified>
</cp:coreProperties>
</file>